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01D8" w14:textId="77777777" w:rsidR="00032A8E" w:rsidRPr="00032A8E" w:rsidRDefault="00032A8E" w:rsidP="00E21D22">
      <w:pPr>
        <w:jc w:val="center"/>
        <w:rPr>
          <w:rFonts w:ascii="Times New Roman" w:hAnsi="Times New Roman" w:cs="Times New Roman"/>
        </w:rPr>
      </w:pPr>
    </w:p>
    <w:p w14:paraId="5E77F8F4" w14:textId="3014AEDC" w:rsidR="00032A8E" w:rsidRPr="00032A8E" w:rsidRDefault="00032A8E" w:rsidP="00E21D22">
      <w:pPr>
        <w:jc w:val="center"/>
        <w:rPr>
          <w:rFonts w:ascii="Times New Roman" w:hAnsi="Times New Roman" w:cs="Times New Roman"/>
        </w:rPr>
      </w:pPr>
      <w:r w:rsidRPr="00032A8E">
        <w:rPr>
          <w:rFonts w:ascii="Times New Roman" w:hAnsi="Times New Roman" w:cs="Times New Roman"/>
        </w:rPr>
        <w:t>CONGRESO NACIONAL "SER MUJER EN EL MERCADO DE TRABAJO"</w:t>
      </w:r>
    </w:p>
    <w:p w14:paraId="24C5D8AA" w14:textId="77777777" w:rsidR="00032A8E" w:rsidRPr="00032A8E" w:rsidRDefault="00032A8E" w:rsidP="00E21D22">
      <w:pPr>
        <w:jc w:val="center"/>
        <w:rPr>
          <w:rFonts w:ascii="Times New Roman" w:hAnsi="Times New Roman" w:cs="Times New Roman"/>
        </w:rPr>
      </w:pPr>
    </w:p>
    <w:p w14:paraId="260BC0CA" w14:textId="68447192" w:rsidR="00032A8E" w:rsidRPr="00032A8E" w:rsidRDefault="00032A8E" w:rsidP="00E21D22">
      <w:pPr>
        <w:jc w:val="center"/>
        <w:rPr>
          <w:rFonts w:ascii="Times New Roman" w:hAnsi="Times New Roman" w:cs="Times New Roman"/>
        </w:rPr>
      </w:pPr>
      <w:r w:rsidRPr="00032A8E">
        <w:rPr>
          <w:rFonts w:ascii="Times New Roman" w:hAnsi="Times New Roman" w:cs="Times New Roman"/>
        </w:rPr>
        <w:t>UNA PANORÁMICA GENERAL DEL MERCADO DE TRABAJO ESPAÑOL EN CLAVE DE GÉNERO</w:t>
      </w:r>
    </w:p>
    <w:p w14:paraId="570EBE54" w14:textId="77777777" w:rsidR="00FB6505" w:rsidRDefault="00032A8E" w:rsidP="00E21D22">
      <w:pPr>
        <w:jc w:val="center"/>
        <w:rPr>
          <w:rFonts w:ascii="Times New Roman" w:hAnsi="Times New Roman" w:cs="Times New Roman"/>
        </w:rPr>
      </w:pPr>
      <w:r w:rsidRPr="00032A8E">
        <w:rPr>
          <w:rFonts w:ascii="Times New Roman" w:hAnsi="Times New Roman" w:cs="Times New Roman"/>
        </w:rPr>
        <w:tab/>
      </w:r>
    </w:p>
    <w:p w14:paraId="7CA7C758" w14:textId="200176BE" w:rsidR="00032A8E" w:rsidRPr="00A070F3" w:rsidRDefault="00E017F4" w:rsidP="00E21D22">
      <w:pPr>
        <w:jc w:val="center"/>
        <w:rPr>
          <w:rFonts w:ascii="Times New Roman" w:hAnsi="Times New Roman" w:cs="Times New Roman"/>
          <w:b/>
          <w:bCs/>
        </w:rPr>
      </w:pPr>
      <w:r w:rsidRPr="00A070F3">
        <w:rPr>
          <w:rFonts w:ascii="Times New Roman" w:hAnsi="Times New Roman" w:cs="Times New Roman"/>
          <w:b/>
          <w:bCs/>
        </w:rPr>
        <w:t>ALGUNAS PROPUESTAS DE ACTUACIÓN PARA COMBATIR LA BRECHA DIGITAL</w:t>
      </w:r>
      <w:r>
        <w:rPr>
          <w:rFonts w:ascii="Times New Roman" w:hAnsi="Times New Roman" w:cs="Times New Roman"/>
          <w:b/>
          <w:bCs/>
        </w:rPr>
        <w:t xml:space="preserve"> TANTO EN EL ÁMBITO PÚBLICO COMO EN EL PRIVADO</w:t>
      </w:r>
    </w:p>
    <w:p w14:paraId="27A7952E" w14:textId="4B977FD1" w:rsidR="00032A8E" w:rsidRPr="00032A8E" w:rsidRDefault="00032A8E" w:rsidP="00E21D22">
      <w:pPr>
        <w:tabs>
          <w:tab w:val="left" w:pos="3281"/>
        </w:tabs>
        <w:rPr>
          <w:rFonts w:ascii="Times New Roman" w:hAnsi="Times New Roman" w:cs="Times New Roman"/>
        </w:rPr>
      </w:pPr>
    </w:p>
    <w:p w14:paraId="6439CB5C" w14:textId="77777777" w:rsidR="00032A8E" w:rsidRPr="00032A8E" w:rsidRDefault="00032A8E" w:rsidP="00E21D22">
      <w:pPr>
        <w:rPr>
          <w:rFonts w:ascii="Times New Roman" w:hAnsi="Times New Roman" w:cs="Times New Roman"/>
        </w:rPr>
      </w:pPr>
    </w:p>
    <w:p w14:paraId="3DECBFB2" w14:textId="77777777" w:rsidR="00032A8E" w:rsidRPr="00032A8E" w:rsidRDefault="00032A8E" w:rsidP="00E21D22">
      <w:pPr>
        <w:rPr>
          <w:rFonts w:ascii="Times New Roman" w:hAnsi="Times New Roman" w:cs="Times New Roman"/>
        </w:rPr>
      </w:pPr>
    </w:p>
    <w:p w14:paraId="6AFA21C4" w14:textId="6DC9DA08" w:rsidR="00046EBD" w:rsidRDefault="00032A8E" w:rsidP="00E21D22">
      <w:pPr>
        <w:jc w:val="right"/>
        <w:rPr>
          <w:rFonts w:ascii="Times New Roman" w:hAnsi="Times New Roman" w:cs="Times New Roman"/>
        </w:rPr>
      </w:pPr>
      <w:r w:rsidRPr="00032A8E">
        <w:rPr>
          <w:rFonts w:ascii="Times New Roman" w:hAnsi="Times New Roman" w:cs="Times New Roman"/>
        </w:rPr>
        <w:t>Carmen Grau Pineda</w:t>
      </w:r>
    </w:p>
    <w:p w14:paraId="0D375E6B" w14:textId="77777777" w:rsidR="00E359BD" w:rsidRDefault="00E359BD" w:rsidP="00E21D22">
      <w:pPr>
        <w:pStyle w:val="Prrafodelista"/>
        <w:jc w:val="right"/>
        <w:rPr>
          <w:rFonts w:ascii="Times New Roman" w:hAnsi="Times New Roman" w:cs="Times New Roman"/>
        </w:rPr>
      </w:pPr>
      <w:r>
        <w:rPr>
          <w:rFonts w:ascii="Times New Roman" w:hAnsi="Times New Roman" w:cs="Times New Roman"/>
        </w:rPr>
        <w:t xml:space="preserve">Profesora Titular de Derecho del Trabajo y de la Seguridad Social </w:t>
      </w:r>
    </w:p>
    <w:p w14:paraId="73BE5752" w14:textId="7959F5D8" w:rsidR="00E359BD" w:rsidRDefault="00E359BD" w:rsidP="00E21D22">
      <w:pPr>
        <w:pStyle w:val="Prrafodelista"/>
        <w:jc w:val="right"/>
        <w:rPr>
          <w:rFonts w:ascii="Times New Roman" w:hAnsi="Times New Roman" w:cs="Times New Roman"/>
        </w:rPr>
      </w:pPr>
      <w:r>
        <w:rPr>
          <w:rFonts w:ascii="Times New Roman" w:hAnsi="Times New Roman" w:cs="Times New Roman"/>
        </w:rPr>
        <w:t>Universidad de Las Palmas de Gran Canaria</w:t>
      </w:r>
    </w:p>
    <w:p w14:paraId="6CB4C3D6" w14:textId="77777777" w:rsidR="00E359BD" w:rsidRPr="00032A8E" w:rsidRDefault="00E359BD" w:rsidP="00E21D22">
      <w:pPr>
        <w:jc w:val="right"/>
        <w:rPr>
          <w:rFonts w:ascii="Times New Roman" w:hAnsi="Times New Roman" w:cs="Times New Roman"/>
        </w:rPr>
      </w:pPr>
    </w:p>
    <w:p w14:paraId="3B95D013" w14:textId="0B394A52" w:rsidR="00032A8E" w:rsidRDefault="00032A8E" w:rsidP="00E21D22">
      <w:pPr>
        <w:jc w:val="right"/>
        <w:rPr>
          <w:rFonts w:ascii="Times New Roman" w:hAnsi="Times New Roman" w:cs="Times New Roman"/>
        </w:rPr>
      </w:pPr>
      <w:r w:rsidRPr="00032A8E">
        <w:rPr>
          <w:rFonts w:ascii="Times New Roman" w:hAnsi="Times New Roman" w:cs="Times New Roman"/>
        </w:rPr>
        <w:t>Arturo Montesdeoca Suárez</w:t>
      </w:r>
    </w:p>
    <w:p w14:paraId="6B8C2685" w14:textId="687E95F8" w:rsidR="00E359BD" w:rsidRDefault="00E359BD" w:rsidP="00E21D22">
      <w:pPr>
        <w:pStyle w:val="Prrafodelista"/>
        <w:jc w:val="right"/>
        <w:rPr>
          <w:rFonts w:ascii="Times New Roman" w:hAnsi="Times New Roman" w:cs="Times New Roman"/>
        </w:rPr>
      </w:pPr>
      <w:r>
        <w:rPr>
          <w:rFonts w:ascii="Times New Roman" w:hAnsi="Times New Roman" w:cs="Times New Roman"/>
        </w:rPr>
        <w:t xml:space="preserve">Personal investigador </w:t>
      </w:r>
      <w:proofErr w:type="spellStart"/>
      <w:r>
        <w:rPr>
          <w:rFonts w:ascii="Times New Roman" w:hAnsi="Times New Roman" w:cs="Times New Roman"/>
        </w:rPr>
        <w:t>predoctoral</w:t>
      </w:r>
      <w:proofErr w:type="spellEnd"/>
      <w:r>
        <w:rPr>
          <w:rFonts w:ascii="Times New Roman" w:hAnsi="Times New Roman" w:cs="Times New Roman"/>
        </w:rPr>
        <w:t xml:space="preserve"> de la ACIISI, Gobierno de Canarias </w:t>
      </w:r>
    </w:p>
    <w:p w14:paraId="7AAEBE3D" w14:textId="77777777" w:rsidR="00E359BD" w:rsidRDefault="00E359BD" w:rsidP="00E21D22">
      <w:pPr>
        <w:pStyle w:val="Prrafodelista"/>
        <w:jc w:val="right"/>
        <w:rPr>
          <w:rFonts w:ascii="Times New Roman" w:hAnsi="Times New Roman" w:cs="Times New Roman"/>
        </w:rPr>
      </w:pPr>
      <w:r>
        <w:rPr>
          <w:rFonts w:ascii="Times New Roman" w:hAnsi="Times New Roman" w:cs="Times New Roman"/>
        </w:rPr>
        <w:t>Universidad de Las Palmas de Gran Canaria</w:t>
      </w:r>
    </w:p>
    <w:p w14:paraId="2FE4E02A" w14:textId="77777777" w:rsidR="00E359BD" w:rsidRPr="00032A8E" w:rsidRDefault="00E359BD" w:rsidP="00E21D22">
      <w:pPr>
        <w:jc w:val="right"/>
        <w:rPr>
          <w:rFonts w:ascii="Times New Roman" w:hAnsi="Times New Roman" w:cs="Times New Roman"/>
        </w:rPr>
      </w:pPr>
    </w:p>
    <w:p w14:paraId="174651D2" w14:textId="7FBD9EE8" w:rsidR="00032A8E" w:rsidRPr="00032A8E" w:rsidRDefault="00032A8E" w:rsidP="00E21D22">
      <w:pPr>
        <w:rPr>
          <w:rFonts w:ascii="Times New Roman" w:hAnsi="Times New Roman" w:cs="Times New Roman"/>
        </w:rPr>
      </w:pPr>
    </w:p>
    <w:p w14:paraId="28861E46" w14:textId="3C441DCD" w:rsidR="00032A8E" w:rsidRPr="00032A8E" w:rsidRDefault="00032A8E" w:rsidP="00E21D22">
      <w:pPr>
        <w:rPr>
          <w:rFonts w:ascii="Times New Roman" w:hAnsi="Times New Roman" w:cs="Times New Roman"/>
        </w:rPr>
      </w:pPr>
    </w:p>
    <w:p w14:paraId="1C38080F" w14:textId="0A5D3842" w:rsidR="00032A8E" w:rsidRDefault="00032A8E" w:rsidP="00E21D22"/>
    <w:p w14:paraId="3543E5CA" w14:textId="08D34E7E" w:rsidR="00032A8E" w:rsidRDefault="00032A8E" w:rsidP="00E21D22"/>
    <w:p w14:paraId="2D76F361" w14:textId="4763A9E4" w:rsidR="00032A8E" w:rsidRDefault="00032A8E" w:rsidP="00E21D22"/>
    <w:p w14:paraId="55796343" w14:textId="2CE1D1D0" w:rsidR="00032A8E" w:rsidRDefault="00032A8E" w:rsidP="00E21D22"/>
    <w:p w14:paraId="6E3AF58C" w14:textId="66EAE5A8" w:rsidR="00032A8E" w:rsidRDefault="00032A8E" w:rsidP="00E21D22"/>
    <w:p w14:paraId="5C794A27" w14:textId="341E9821" w:rsidR="00032A8E" w:rsidRDefault="00032A8E" w:rsidP="00E21D22"/>
    <w:p w14:paraId="14BEFB4A" w14:textId="7DBAFC6D" w:rsidR="00032A8E" w:rsidRDefault="00032A8E" w:rsidP="00E21D22"/>
    <w:p w14:paraId="0972EACC" w14:textId="18A637B4" w:rsidR="00032A8E" w:rsidRDefault="00032A8E" w:rsidP="00E21D22"/>
    <w:p w14:paraId="3BB3B295" w14:textId="77D6CED3" w:rsidR="00032A8E" w:rsidRDefault="00032A8E" w:rsidP="00E21D22"/>
    <w:p w14:paraId="06C9668C" w14:textId="776FBFEE" w:rsidR="00032A8E" w:rsidRDefault="00032A8E" w:rsidP="00E21D22"/>
    <w:p w14:paraId="1522FAB6" w14:textId="79F8C54C" w:rsidR="00032A8E" w:rsidRDefault="00032A8E" w:rsidP="00E21D22"/>
    <w:p w14:paraId="57B5E2C1" w14:textId="77C8E08C" w:rsidR="00032A8E" w:rsidRDefault="00032A8E" w:rsidP="00E21D22"/>
    <w:p w14:paraId="705B6446" w14:textId="7D22D6B9" w:rsidR="00032A8E" w:rsidRDefault="00032A8E" w:rsidP="00E21D22"/>
    <w:p w14:paraId="3C947CCE" w14:textId="2784BF95" w:rsidR="00032A8E" w:rsidRDefault="00032A8E" w:rsidP="00E21D22"/>
    <w:p w14:paraId="2AB67B51" w14:textId="35A59124" w:rsidR="00032A8E" w:rsidRDefault="00032A8E" w:rsidP="00E21D22"/>
    <w:p w14:paraId="2BBDED31" w14:textId="304145D8" w:rsidR="00032A8E" w:rsidRDefault="00032A8E" w:rsidP="00E21D22"/>
    <w:p w14:paraId="53214F87" w14:textId="3FF4C2A3" w:rsidR="00032A8E" w:rsidRDefault="00032A8E" w:rsidP="00E21D22"/>
    <w:p w14:paraId="2BDBC3D4" w14:textId="28F462F9" w:rsidR="00032A8E" w:rsidRDefault="00032A8E" w:rsidP="00E21D22"/>
    <w:p w14:paraId="4285C4D2" w14:textId="20DC8861" w:rsidR="00032A8E" w:rsidRDefault="00032A8E" w:rsidP="00E21D22"/>
    <w:p w14:paraId="4768ADC8" w14:textId="15DFA282" w:rsidR="00032A8E" w:rsidRDefault="00032A8E" w:rsidP="00E21D22"/>
    <w:p w14:paraId="3F6A0854" w14:textId="61CE53B5" w:rsidR="00032A8E" w:rsidRDefault="00032A8E" w:rsidP="00E21D22"/>
    <w:p w14:paraId="436E34C0" w14:textId="75EA7619" w:rsidR="00032A8E" w:rsidRDefault="00032A8E" w:rsidP="00E21D22"/>
    <w:p w14:paraId="3EC1A0CE" w14:textId="2542E544" w:rsidR="00032A8E" w:rsidRDefault="00032A8E" w:rsidP="00E21D22"/>
    <w:p w14:paraId="126220CC" w14:textId="5990E356" w:rsidR="00032A8E" w:rsidRDefault="00032A8E" w:rsidP="00E21D22"/>
    <w:p w14:paraId="266E410C" w14:textId="6EC224ED" w:rsidR="00032A8E" w:rsidRDefault="00032A8E" w:rsidP="00E21D22"/>
    <w:p w14:paraId="290F8173" w14:textId="52E5DB3D" w:rsidR="00032A8E" w:rsidRDefault="00032A8E" w:rsidP="00E21D22"/>
    <w:p w14:paraId="5718916B" w14:textId="648FA30A" w:rsidR="00032A8E" w:rsidRDefault="00032A8E" w:rsidP="00E21D22"/>
    <w:p w14:paraId="756EA96C" w14:textId="31667891" w:rsidR="00032A8E" w:rsidRDefault="00032A8E" w:rsidP="00E21D22"/>
    <w:p w14:paraId="06EAF4E0" w14:textId="77777777" w:rsidR="00032A8E" w:rsidRPr="00032A8E" w:rsidRDefault="00032A8E" w:rsidP="00E21D22">
      <w:pPr>
        <w:pStyle w:val="Prrafodelista"/>
        <w:jc w:val="both"/>
        <w:rPr>
          <w:rFonts w:ascii="Times New Roman" w:hAnsi="Times New Roman" w:cs="Times New Roman"/>
        </w:rPr>
      </w:pPr>
    </w:p>
    <w:p w14:paraId="2DF6E169" w14:textId="665F14B8" w:rsidR="00771383" w:rsidRPr="00E359BD" w:rsidRDefault="00032A8E" w:rsidP="00E21D22">
      <w:pPr>
        <w:pStyle w:val="Prrafodelista"/>
        <w:numPr>
          <w:ilvl w:val="0"/>
          <w:numId w:val="1"/>
        </w:numPr>
        <w:jc w:val="both"/>
        <w:rPr>
          <w:rFonts w:ascii="Times New Roman" w:hAnsi="Times New Roman" w:cs="Times New Roman"/>
          <w:b/>
          <w:bCs/>
        </w:rPr>
      </w:pPr>
      <w:r w:rsidRPr="00E359BD">
        <w:rPr>
          <w:rFonts w:ascii="Times New Roman" w:hAnsi="Times New Roman" w:cs="Times New Roman"/>
          <w:b/>
          <w:bCs/>
        </w:rPr>
        <w:t>Estado de la cuestión</w:t>
      </w:r>
    </w:p>
    <w:p w14:paraId="6079FC45" w14:textId="62D10AE7" w:rsidR="00807A2B" w:rsidRDefault="009B7694" w:rsidP="00E21D22">
      <w:pPr>
        <w:contextualSpacing/>
        <w:jc w:val="both"/>
        <w:rPr>
          <w:rFonts w:ascii="Times New Roman" w:hAnsi="Times New Roman" w:cs="Times New Roman"/>
        </w:rPr>
      </w:pPr>
      <w:r>
        <w:rPr>
          <w:rFonts w:ascii="Times New Roman" w:hAnsi="Times New Roman" w:cs="Times New Roman"/>
        </w:rPr>
        <w:tab/>
      </w:r>
      <w:r w:rsidR="00E359BD">
        <w:rPr>
          <w:rFonts w:ascii="Times New Roman" w:hAnsi="Times New Roman" w:cs="Times New Roman"/>
        </w:rPr>
        <w:t>C</w:t>
      </w:r>
      <w:r w:rsidR="00B221D8">
        <w:rPr>
          <w:rFonts w:ascii="Times New Roman" w:hAnsi="Times New Roman" w:cs="Times New Roman"/>
        </w:rPr>
        <w:t>o</w:t>
      </w:r>
      <w:r w:rsidR="00E359BD">
        <w:rPr>
          <w:rFonts w:ascii="Times New Roman" w:hAnsi="Times New Roman" w:cs="Times New Roman"/>
        </w:rPr>
        <w:t>mo es sabido por todas,</w:t>
      </w:r>
      <w:r w:rsidR="00E70D75">
        <w:rPr>
          <w:rFonts w:ascii="Times New Roman" w:hAnsi="Times New Roman" w:cs="Times New Roman"/>
        </w:rPr>
        <w:t xml:space="preserve"> la igualdad constituye un valor superior del ordenamiento jurídico</w:t>
      </w:r>
      <w:r w:rsidR="00120CAF">
        <w:rPr>
          <w:rFonts w:ascii="Times New Roman" w:hAnsi="Times New Roman" w:cs="Times New Roman"/>
        </w:rPr>
        <w:t xml:space="preserve">, presupuesto indispensable para la configuración de un Estado social y democrático de Derecho </w:t>
      </w:r>
      <w:r w:rsidR="00120CAF" w:rsidRPr="00AE6EE1">
        <w:rPr>
          <w:rFonts w:ascii="Times New Roman" w:hAnsi="Times New Roman" w:cs="Times New Roman"/>
          <w:i/>
          <w:iCs/>
        </w:rPr>
        <w:t>ex</w:t>
      </w:r>
      <w:r w:rsidR="00120CAF">
        <w:rPr>
          <w:rFonts w:ascii="Times New Roman" w:hAnsi="Times New Roman" w:cs="Times New Roman"/>
        </w:rPr>
        <w:t xml:space="preserve"> art. 1.1 Constitución Española (CE). </w:t>
      </w:r>
      <w:r w:rsidR="00646C1C">
        <w:rPr>
          <w:rFonts w:ascii="Times New Roman" w:hAnsi="Times New Roman" w:cs="Times New Roman"/>
        </w:rPr>
        <w:t>Por otro lado</w:t>
      </w:r>
      <w:r w:rsidR="00120CAF">
        <w:rPr>
          <w:rFonts w:ascii="Times New Roman" w:hAnsi="Times New Roman" w:cs="Times New Roman"/>
        </w:rPr>
        <w:t xml:space="preserve">, </w:t>
      </w:r>
      <w:r w:rsidR="00646C1C">
        <w:rPr>
          <w:rFonts w:ascii="Times New Roman" w:hAnsi="Times New Roman" w:cs="Times New Roman"/>
        </w:rPr>
        <w:t xml:space="preserve">se ha atribuido a los poderes públicos el encargo que la tan ansiada igualdad se materialice de forma real y efectiva </w:t>
      </w:r>
      <w:r w:rsidR="00646C1C" w:rsidRPr="00AE6EE1">
        <w:rPr>
          <w:rFonts w:ascii="Times New Roman" w:hAnsi="Times New Roman" w:cs="Times New Roman"/>
          <w:i/>
          <w:iCs/>
        </w:rPr>
        <w:t>ex</w:t>
      </w:r>
      <w:r w:rsidR="00646C1C">
        <w:rPr>
          <w:rFonts w:ascii="Times New Roman" w:hAnsi="Times New Roman" w:cs="Times New Roman"/>
        </w:rPr>
        <w:t xml:space="preserve"> art. 9.2 CE. Y, así mismo, ha encontrado anclaje </w:t>
      </w:r>
      <w:r>
        <w:rPr>
          <w:rFonts w:ascii="Times New Roman" w:hAnsi="Times New Roman" w:cs="Times New Roman"/>
        </w:rPr>
        <w:t>en el Título I de la CE, “De los derechos y deberes fundamentales”, como reflejo de una “actuación integral, promocional y/o equilibradora que garantice la igualdad de oportunidades real y efectiva entre todas las personas que componen la sociedad</w:t>
      </w:r>
      <w:r>
        <w:rPr>
          <w:rStyle w:val="Refdenotaalpie"/>
          <w:rFonts w:ascii="Times New Roman" w:hAnsi="Times New Roman" w:cs="Times New Roman"/>
        </w:rPr>
        <w:footnoteReference w:id="1"/>
      </w:r>
      <w:r>
        <w:rPr>
          <w:rFonts w:ascii="Times New Roman" w:hAnsi="Times New Roman" w:cs="Times New Roman"/>
        </w:rPr>
        <w:t xml:space="preserve">”. </w:t>
      </w:r>
    </w:p>
    <w:p w14:paraId="3AE85C07" w14:textId="7714260D" w:rsidR="00BA7234" w:rsidRDefault="00807A2B" w:rsidP="00E21D22">
      <w:pPr>
        <w:contextualSpacing/>
        <w:jc w:val="both"/>
        <w:rPr>
          <w:rFonts w:ascii="Times New Roman" w:hAnsi="Times New Roman" w:cs="Times New Roman"/>
        </w:rPr>
      </w:pPr>
      <w:r>
        <w:rPr>
          <w:rFonts w:ascii="Times New Roman" w:hAnsi="Times New Roman" w:cs="Times New Roman"/>
        </w:rPr>
        <w:tab/>
      </w:r>
      <w:r w:rsidR="007E4782">
        <w:rPr>
          <w:rFonts w:ascii="Times New Roman" w:hAnsi="Times New Roman" w:cs="Times New Roman"/>
        </w:rPr>
        <w:t xml:space="preserve">El camino para alcanzar la igualdad real y efectiva entre mujeres y hombres no ha sido singularmente fácil, precisamente </w:t>
      </w:r>
      <w:r w:rsidR="00E10B57">
        <w:rPr>
          <w:rFonts w:ascii="Times New Roman" w:hAnsi="Times New Roman" w:cs="Times New Roman"/>
        </w:rPr>
        <w:t xml:space="preserve">porque </w:t>
      </w:r>
      <w:r w:rsidR="007E4782">
        <w:rPr>
          <w:rFonts w:ascii="Times New Roman" w:hAnsi="Times New Roman" w:cs="Times New Roman"/>
        </w:rPr>
        <w:t xml:space="preserve">han coexistido múltiples gérmenes </w:t>
      </w:r>
      <w:r w:rsidR="006D1EF1">
        <w:rPr>
          <w:rFonts w:ascii="Times New Roman" w:hAnsi="Times New Roman" w:cs="Times New Roman"/>
        </w:rPr>
        <w:t>políticos, sociales y culturales</w:t>
      </w:r>
      <w:r w:rsidR="00813DD9">
        <w:rPr>
          <w:rStyle w:val="Refdenotaalpie"/>
          <w:rFonts w:ascii="Times New Roman" w:hAnsi="Times New Roman" w:cs="Times New Roman"/>
        </w:rPr>
        <w:footnoteReference w:id="2"/>
      </w:r>
      <w:r w:rsidR="006D1EF1">
        <w:rPr>
          <w:rFonts w:ascii="Times New Roman" w:hAnsi="Times New Roman" w:cs="Times New Roman"/>
        </w:rPr>
        <w:t xml:space="preserve"> </w:t>
      </w:r>
      <w:r w:rsidR="007E4782">
        <w:rPr>
          <w:rFonts w:ascii="Times New Roman" w:hAnsi="Times New Roman" w:cs="Times New Roman"/>
        </w:rPr>
        <w:t xml:space="preserve">característicos de la </w:t>
      </w:r>
      <w:r>
        <w:rPr>
          <w:rFonts w:ascii="Times New Roman" w:hAnsi="Times New Roman" w:cs="Times New Roman"/>
        </w:rPr>
        <w:t>sociedad patriarcal</w:t>
      </w:r>
      <w:r w:rsidR="007E4782">
        <w:rPr>
          <w:rFonts w:ascii="Times New Roman" w:hAnsi="Times New Roman" w:cs="Times New Roman"/>
        </w:rPr>
        <w:t xml:space="preserve"> </w:t>
      </w:r>
      <w:r w:rsidR="006D1EF1">
        <w:rPr>
          <w:rFonts w:ascii="Times New Roman" w:hAnsi="Times New Roman" w:cs="Times New Roman"/>
        </w:rPr>
        <w:t xml:space="preserve">que </w:t>
      </w:r>
      <w:r w:rsidR="00BA7234">
        <w:rPr>
          <w:rFonts w:ascii="Times New Roman" w:hAnsi="Times New Roman" w:cs="Times New Roman"/>
        </w:rPr>
        <w:t xml:space="preserve">han ido </w:t>
      </w:r>
      <w:r w:rsidR="006D1EF1">
        <w:rPr>
          <w:rFonts w:ascii="Times New Roman" w:hAnsi="Times New Roman" w:cs="Times New Roman"/>
        </w:rPr>
        <w:t>en detrimento de la mujer en cuestiones como: e</w:t>
      </w:r>
      <w:r w:rsidR="007E4782">
        <w:rPr>
          <w:rFonts w:ascii="Times New Roman" w:hAnsi="Times New Roman" w:cs="Times New Roman"/>
        </w:rPr>
        <w:t>l acceso y el tipo de empleo, la discriminación salarial</w:t>
      </w:r>
      <w:r w:rsidR="006D1EF1">
        <w:rPr>
          <w:rFonts w:ascii="Times New Roman" w:hAnsi="Times New Roman" w:cs="Times New Roman"/>
        </w:rPr>
        <w:t xml:space="preserve">, </w:t>
      </w:r>
      <w:r w:rsidR="00813DD9">
        <w:rPr>
          <w:rFonts w:ascii="Times New Roman" w:hAnsi="Times New Roman" w:cs="Times New Roman"/>
        </w:rPr>
        <w:t xml:space="preserve">prestaciones de la seguridad social, </w:t>
      </w:r>
      <w:r w:rsidR="006D1EF1">
        <w:rPr>
          <w:rFonts w:ascii="Times New Roman" w:hAnsi="Times New Roman" w:cs="Times New Roman"/>
        </w:rPr>
        <w:t>las políticas de conciliación laboral y familiar o los obstáculos de promoción hacia puestos de responsabilidad y dirección.</w:t>
      </w:r>
      <w:r w:rsidR="008B2E18">
        <w:rPr>
          <w:rFonts w:ascii="Times New Roman" w:hAnsi="Times New Roman" w:cs="Times New Roman"/>
        </w:rPr>
        <w:t xml:space="preserve"> Motivos por los que se reclamaba a voces un marco jurídico que permitiese, al menos, adoptar medidas de promoción de igualdad con perspectiva de género que pudiesen superar la discriminación y desventaja de las mujeres por hábitos socialmente arraigados en la sociedad. </w:t>
      </w:r>
    </w:p>
    <w:p w14:paraId="1C310594" w14:textId="696886EE" w:rsidR="00E70D75" w:rsidRPr="00E70D75" w:rsidRDefault="00BA7234" w:rsidP="00E21D22">
      <w:pPr>
        <w:contextualSpacing/>
        <w:jc w:val="both"/>
        <w:rPr>
          <w:rFonts w:ascii="Times New Roman" w:hAnsi="Times New Roman" w:cs="Times New Roman"/>
        </w:rPr>
      </w:pPr>
      <w:r>
        <w:rPr>
          <w:rFonts w:ascii="Times New Roman" w:hAnsi="Times New Roman" w:cs="Times New Roman"/>
        </w:rPr>
        <w:tab/>
        <w:t>Fruto de este proceso de preocupación social</w:t>
      </w:r>
      <w:r w:rsidR="008B2E18">
        <w:rPr>
          <w:rFonts w:ascii="Times New Roman" w:hAnsi="Times New Roman" w:cs="Times New Roman"/>
        </w:rPr>
        <w:t xml:space="preserve">, surgió la </w:t>
      </w:r>
      <w:r w:rsidR="008B2E18" w:rsidRPr="008B2E18">
        <w:rPr>
          <w:rFonts w:ascii="Times New Roman" w:hAnsi="Times New Roman" w:cs="Times New Roman"/>
        </w:rPr>
        <w:t xml:space="preserve">Ley Orgánica 3/2007, de 22 de marzo, para la igualdad </w:t>
      </w:r>
      <w:r w:rsidR="008B2E18">
        <w:rPr>
          <w:rFonts w:ascii="Times New Roman" w:hAnsi="Times New Roman" w:cs="Times New Roman"/>
        </w:rPr>
        <w:t xml:space="preserve">efectiva de </w:t>
      </w:r>
      <w:r w:rsidR="008B2E18" w:rsidRPr="008B2E18">
        <w:rPr>
          <w:rFonts w:ascii="Times New Roman" w:hAnsi="Times New Roman" w:cs="Times New Roman"/>
        </w:rPr>
        <w:t>mujeres y hombres</w:t>
      </w:r>
      <w:r w:rsidR="00E359BD">
        <w:rPr>
          <w:rFonts w:ascii="Times New Roman" w:hAnsi="Times New Roman" w:cs="Times New Roman"/>
        </w:rPr>
        <w:t xml:space="preserve"> (en adelante, LOI)</w:t>
      </w:r>
      <w:r w:rsidR="00DF270B">
        <w:rPr>
          <w:rFonts w:ascii="Times New Roman" w:hAnsi="Times New Roman" w:cs="Times New Roman"/>
        </w:rPr>
        <w:t>. S</w:t>
      </w:r>
      <w:r w:rsidR="00E70D75">
        <w:rPr>
          <w:rFonts w:ascii="Times New Roman" w:hAnsi="Times New Roman" w:cs="Times New Roman"/>
        </w:rPr>
        <w:t xml:space="preserve">e </w:t>
      </w:r>
      <w:r w:rsidR="00CC39CA" w:rsidRPr="00E70D75">
        <w:rPr>
          <w:rFonts w:ascii="Times New Roman" w:hAnsi="Times New Roman" w:cs="Times New Roman"/>
        </w:rPr>
        <w:t xml:space="preserve">puede </w:t>
      </w:r>
      <w:r w:rsidR="00E70D75">
        <w:rPr>
          <w:rFonts w:ascii="Times New Roman" w:hAnsi="Times New Roman" w:cs="Times New Roman"/>
        </w:rPr>
        <w:t xml:space="preserve">estar de acuerdo </w:t>
      </w:r>
      <w:r w:rsidR="00CC39CA" w:rsidRPr="00E70D75">
        <w:rPr>
          <w:rFonts w:ascii="Times New Roman" w:hAnsi="Times New Roman" w:cs="Times New Roman"/>
        </w:rPr>
        <w:t xml:space="preserve">que la lucha por la igualdad puede tener lugar desde diferentes ámbitos de la sociedad como </w:t>
      </w:r>
      <w:r w:rsidR="00E70D75">
        <w:rPr>
          <w:rFonts w:ascii="Times New Roman" w:hAnsi="Times New Roman" w:cs="Times New Roman"/>
        </w:rPr>
        <w:t xml:space="preserve">que puede traer causa </w:t>
      </w:r>
      <w:r w:rsidR="00CC39CA" w:rsidRPr="00E70D75">
        <w:rPr>
          <w:rFonts w:ascii="Times New Roman" w:hAnsi="Times New Roman" w:cs="Times New Roman"/>
        </w:rPr>
        <w:t xml:space="preserve">por diferentes </w:t>
      </w:r>
      <w:r w:rsidR="008544DA">
        <w:rPr>
          <w:rFonts w:ascii="Times New Roman" w:hAnsi="Times New Roman" w:cs="Times New Roman"/>
        </w:rPr>
        <w:t>circunstancias</w:t>
      </w:r>
      <w:r w:rsidR="00CC39CA" w:rsidRPr="00E70D75">
        <w:rPr>
          <w:rFonts w:ascii="Times New Roman" w:hAnsi="Times New Roman" w:cs="Times New Roman"/>
        </w:rPr>
        <w:t>, entre ellas, la tec</w:t>
      </w:r>
      <w:r w:rsidR="00E70D75" w:rsidRPr="00E70D75">
        <w:rPr>
          <w:rFonts w:ascii="Times New Roman" w:hAnsi="Times New Roman" w:cs="Times New Roman"/>
        </w:rPr>
        <w:t>nológica</w:t>
      </w:r>
      <w:r w:rsidR="00DF270B">
        <w:rPr>
          <w:rFonts w:ascii="Times New Roman" w:hAnsi="Times New Roman" w:cs="Times New Roman"/>
        </w:rPr>
        <w:t>,</w:t>
      </w:r>
      <w:r w:rsidR="00E70D75" w:rsidRPr="00E70D75">
        <w:rPr>
          <w:rFonts w:ascii="Times New Roman" w:hAnsi="Times New Roman" w:cs="Times New Roman"/>
        </w:rPr>
        <w:t xml:space="preserve"> objeto de análisis en la presente </w:t>
      </w:r>
      <w:r w:rsidR="00E70D75" w:rsidRPr="00FB1EFE">
        <w:rPr>
          <w:rFonts w:ascii="Times New Roman" w:hAnsi="Times New Roman" w:cs="Times New Roman"/>
        </w:rPr>
        <w:t>comunicación.</w:t>
      </w:r>
      <w:r w:rsidRPr="00FB1EFE">
        <w:rPr>
          <w:rFonts w:ascii="Times New Roman" w:hAnsi="Times New Roman" w:cs="Times New Roman"/>
        </w:rPr>
        <w:t xml:space="preserve"> </w:t>
      </w:r>
      <w:r w:rsidR="00FB1EFE">
        <w:rPr>
          <w:rFonts w:ascii="Times New Roman" w:hAnsi="Times New Roman" w:cs="Times New Roman"/>
        </w:rPr>
        <w:t>No obstante, hoy en día se encuentra superada por un nuevo proceso industrial, la industria 4.0, caracterizada por el salto cualitativo de las tecnologías de comunicación inalámbricas y que conlleva una nueva reordenación de los métodos y formas de trabajo</w:t>
      </w:r>
      <w:r w:rsidR="00DF270B">
        <w:rPr>
          <w:rStyle w:val="Refdenotaalpie"/>
          <w:rFonts w:ascii="Times New Roman" w:hAnsi="Times New Roman" w:cs="Times New Roman"/>
        </w:rPr>
        <w:footnoteReference w:id="3"/>
      </w:r>
      <w:r w:rsidR="00FB1EFE">
        <w:rPr>
          <w:rFonts w:ascii="Times New Roman" w:hAnsi="Times New Roman" w:cs="Times New Roman"/>
        </w:rPr>
        <w:t xml:space="preserve">. </w:t>
      </w:r>
    </w:p>
    <w:p w14:paraId="58AF4406" w14:textId="0C76C055" w:rsidR="00100887" w:rsidRPr="00FB1EFE" w:rsidRDefault="00E70D75" w:rsidP="00E21D22">
      <w:pPr>
        <w:pStyle w:val="Sinespaciado"/>
        <w:jc w:val="both"/>
        <w:rPr>
          <w:rFonts w:ascii="Times New Roman" w:hAnsi="Times New Roman" w:cs="Times New Roman"/>
        </w:rPr>
      </w:pPr>
      <w:r w:rsidRPr="00E70D75">
        <w:tab/>
      </w:r>
      <w:r w:rsidR="00216DCE" w:rsidRPr="00FB1EFE">
        <w:rPr>
          <w:rFonts w:ascii="Times New Roman" w:hAnsi="Times New Roman" w:cs="Times New Roman"/>
        </w:rPr>
        <w:t xml:space="preserve">Es una cuestión </w:t>
      </w:r>
      <w:r w:rsidR="00E359BD">
        <w:rPr>
          <w:rFonts w:ascii="Times New Roman" w:hAnsi="Times New Roman" w:cs="Times New Roman"/>
        </w:rPr>
        <w:t>unánime considerar</w:t>
      </w:r>
      <w:r w:rsidR="00E359BD" w:rsidRPr="00FB1EFE">
        <w:rPr>
          <w:rFonts w:ascii="Times New Roman" w:hAnsi="Times New Roman" w:cs="Times New Roman"/>
        </w:rPr>
        <w:t xml:space="preserve"> </w:t>
      </w:r>
      <w:r w:rsidR="00216DCE" w:rsidRPr="00FB1EFE">
        <w:rPr>
          <w:rFonts w:ascii="Times New Roman" w:hAnsi="Times New Roman" w:cs="Times New Roman"/>
        </w:rPr>
        <w:t xml:space="preserve">que los procesos de innovación tecnológica </w:t>
      </w:r>
      <w:r w:rsidR="00E359BD">
        <w:rPr>
          <w:rFonts w:ascii="Times New Roman" w:hAnsi="Times New Roman" w:cs="Times New Roman"/>
        </w:rPr>
        <w:t>tienen</w:t>
      </w:r>
      <w:r w:rsidR="00E359BD" w:rsidRPr="00FB1EFE">
        <w:rPr>
          <w:rFonts w:ascii="Times New Roman" w:hAnsi="Times New Roman" w:cs="Times New Roman"/>
        </w:rPr>
        <w:t xml:space="preserve"> </w:t>
      </w:r>
      <w:r w:rsidR="00216DCE" w:rsidRPr="00FB1EFE">
        <w:rPr>
          <w:rFonts w:ascii="Times New Roman" w:hAnsi="Times New Roman" w:cs="Times New Roman"/>
        </w:rPr>
        <w:t xml:space="preserve">consecuencias directas en aspectos como el crecimiento económico y </w:t>
      </w:r>
      <w:r w:rsidR="00E359BD">
        <w:rPr>
          <w:rFonts w:ascii="Times New Roman" w:hAnsi="Times New Roman" w:cs="Times New Roman"/>
        </w:rPr>
        <w:t>el correcto casamiento entre la oferta y la demanda en el mercado laboral</w:t>
      </w:r>
      <w:r w:rsidR="005044B3" w:rsidRPr="00FB1EFE">
        <w:rPr>
          <w:rStyle w:val="Refdenotaalpie"/>
          <w:rFonts w:ascii="Times New Roman" w:hAnsi="Times New Roman" w:cs="Times New Roman"/>
        </w:rPr>
        <w:footnoteReference w:id="4"/>
      </w:r>
      <w:r w:rsidR="00216DCE" w:rsidRPr="00FB1EFE">
        <w:rPr>
          <w:rFonts w:ascii="Times New Roman" w:hAnsi="Times New Roman" w:cs="Times New Roman"/>
        </w:rPr>
        <w:t xml:space="preserve">. </w:t>
      </w:r>
      <w:r w:rsidR="00E359BD">
        <w:rPr>
          <w:rFonts w:ascii="Times New Roman" w:hAnsi="Times New Roman" w:cs="Times New Roman"/>
        </w:rPr>
        <w:t>A</w:t>
      </w:r>
      <w:r w:rsidR="00216DCE" w:rsidRPr="00FB1EFE">
        <w:rPr>
          <w:rFonts w:ascii="Times New Roman" w:hAnsi="Times New Roman" w:cs="Times New Roman"/>
        </w:rPr>
        <w:t>simismo, provoca</w:t>
      </w:r>
      <w:r w:rsidR="007E5DB8" w:rsidRPr="00FB1EFE">
        <w:rPr>
          <w:rFonts w:ascii="Times New Roman" w:hAnsi="Times New Roman" w:cs="Times New Roman"/>
        </w:rPr>
        <w:t xml:space="preserve"> la aparición de nuevas formas de empleo que requieren </w:t>
      </w:r>
      <w:r w:rsidR="00E359BD">
        <w:rPr>
          <w:rFonts w:ascii="Times New Roman" w:hAnsi="Times New Roman" w:cs="Times New Roman"/>
        </w:rPr>
        <w:t xml:space="preserve">la adquisición </w:t>
      </w:r>
      <w:r w:rsidR="007E5DB8" w:rsidRPr="00FB1EFE">
        <w:rPr>
          <w:rFonts w:ascii="Times New Roman" w:hAnsi="Times New Roman" w:cs="Times New Roman"/>
        </w:rPr>
        <w:t>de nuevas competencias</w:t>
      </w:r>
      <w:r w:rsidR="00E359BD">
        <w:rPr>
          <w:rFonts w:ascii="Times New Roman" w:hAnsi="Times New Roman" w:cs="Times New Roman"/>
        </w:rPr>
        <w:t xml:space="preserve"> como las</w:t>
      </w:r>
      <w:r w:rsidR="007E5DB8" w:rsidRPr="00FB1EFE">
        <w:rPr>
          <w:rFonts w:ascii="Times New Roman" w:hAnsi="Times New Roman" w:cs="Times New Roman"/>
        </w:rPr>
        <w:t xml:space="preserve"> digitales</w:t>
      </w:r>
      <w:r w:rsidR="00A63D5D" w:rsidRPr="00FB1EFE">
        <w:rPr>
          <w:rFonts w:ascii="Times New Roman" w:hAnsi="Times New Roman" w:cs="Times New Roman"/>
        </w:rPr>
        <w:t>. En definitiva, este tipo de competencia</w:t>
      </w:r>
      <w:r w:rsidR="00E359BD">
        <w:rPr>
          <w:rFonts w:ascii="Times New Roman" w:hAnsi="Times New Roman" w:cs="Times New Roman"/>
        </w:rPr>
        <w:t>s</w:t>
      </w:r>
      <w:r w:rsidR="00A63D5D" w:rsidRPr="00FB1EFE">
        <w:rPr>
          <w:rFonts w:ascii="Times New Roman" w:hAnsi="Times New Roman" w:cs="Times New Roman"/>
        </w:rPr>
        <w:t xml:space="preserve"> obedece a la necesidad de contar con habilidades suficientes para entender y usar habitualmente </w:t>
      </w:r>
      <w:r w:rsidR="00E359BD">
        <w:rPr>
          <w:rFonts w:ascii="Times New Roman" w:hAnsi="Times New Roman" w:cs="Times New Roman"/>
        </w:rPr>
        <w:t>los dispositivos y</w:t>
      </w:r>
      <w:r w:rsidR="00E359BD" w:rsidRPr="00FB1EFE">
        <w:rPr>
          <w:rFonts w:ascii="Times New Roman" w:hAnsi="Times New Roman" w:cs="Times New Roman"/>
        </w:rPr>
        <w:t xml:space="preserve"> </w:t>
      </w:r>
      <w:r w:rsidR="00A63D5D" w:rsidRPr="00FB1EFE">
        <w:rPr>
          <w:rFonts w:ascii="Times New Roman" w:hAnsi="Times New Roman" w:cs="Times New Roman"/>
        </w:rPr>
        <w:t xml:space="preserve">herramientas </w:t>
      </w:r>
      <w:r w:rsidR="00E359BD">
        <w:rPr>
          <w:rFonts w:ascii="Times New Roman" w:hAnsi="Times New Roman" w:cs="Times New Roman"/>
        </w:rPr>
        <w:t xml:space="preserve">tecnológicas implantadas en el medio laboral </w:t>
      </w:r>
      <w:r w:rsidR="00A63D5D" w:rsidRPr="00FB1EFE">
        <w:rPr>
          <w:rFonts w:ascii="Times New Roman" w:hAnsi="Times New Roman" w:cs="Times New Roman"/>
        </w:rPr>
        <w:t>puesto que constituyen un factor de empleabilidad de las personas trabajadoras</w:t>
      </w:r>
      <w:r w:rsidR="003257A2">
        <w:rPr>
          <w:rStyle w:val="Refdenotaalpie"/>
          <w:rFonts w:ascii="Times New Roman" w:hAnsi="Times New Roman" w:cs="Times New Roman"/>
        </w:rPr>
        <w:footnoteReference w:id="5"/>
      </w:r>
      <w:r w:rsidR="00A63D5D" w:rsidRPr="00FB1EFE">
        <w:rPr>
          <w:rFonts w:ascii="Times New Roman" w:hAnsi="Times New Roman" w:cs="Times New Roman"/>
        </w:rPr>
        <w:t xml:space="preserve">. </w:t>
      </w:r>
      <w:r w:rsidR="00C5575C" w:rsidRPr="00FB1EFE">
        <w:rPr>
          <w:rFonts w:ascii="Times New Roman" w:hAnsi="Times New Roman" w:cs="Times New Roman"/>
        </w:rPr>
        <w:t xml:space="preserve">Por lo tanto, </w:t>
      </w:r>
      <w:r w:rsidR="00F03164" w:rsidRPr="00FB1EFE">
        <w:rPr>
          <w:rFonts w:ascii="Times New Roman" w:hAnsi="Times New Roman" w:cs="Times New Roman"/>
        </w:rPr>
        <w:t xml:space="preserve">uno de los interrogantes que se plantea es qué papel asume la mujer en la era de la digitalización teniendo en cuenta </w:t>
      </w:r>
      <w:r w:rsidR="001A5776" w:rsidRPr="00FB1EFE">
        <w:rPr>
          <w:rFonts w:ascii="Times New Roman" w:hAnsi="Times New Roman" w:cs="Times New Roman"/>
        </w:rPr>
        <w:t xml:space="preserve">el incremento de la demanda de personas con conocimientos o competencias digitales y </w:t>
      </w:r>
      <w:r w:rsidR="00F03164" w:rsidRPr="00FB1EFE">
        <w:rPr>
          <w:rFonts w:ascii="Times New Roman" w:hAnsi="Times New Roman" w:cs="Times New Roman"/>
        </w:rPr>
        <w:t xml:space="preserve">su infrarrepresentación </w:t>
      </w:r>
      <w:r w:rsidR="00E359BD">
        <w:rPr>
          <w:rFonts w:ascii="Times New Roman" w:hAnsi="Times New Roman" w:cs="Times New Roman"/>
        </w:rPr>
        <w:t xml:space="preserve">histórica </w:t>
      </w:r>
      <w:r w:rsidR="00F03164" w:rsidRPr="00FB1EFE">
        <w:rPr>
          <w:rFonts w:ascii="Times New Roman" w:hAnsi="Times New Roman" w:cs="Times New Roman"/>
        </w:rPr>
        <w:t xml:space="preserve">en el sector </w:t>
      </w:r>
      <w:r w:rsidR="00B221D8" w:rsidRPr="00FB1EFE">
        <w:rPr>
          <w:rFonts w:ascii="Times New Roman" w:hAnsi="Times New Roman" w:cs="Times New Roman"/>
        </w:rPr>
        <w:t>STEAM</w:t>
      </w:r>
      <w:r w:rsidR="001A5776" w:rsidRPr="00FB1EFE">
        <w:rPr>
          <w:rFonts w:ascii="Times New Roman" w:hAnsi="Times New Roman" w:cs="Times New Roman"/>
        </w:rPr>
        <w:t xml:space="preserve"> </w:t>
      </w:r>
      <w:r w:rsidR="00E359BD">
        <w:rPr>
          <w:rFonts w:ascii="Times New Roman" w:hAnsi="Times New Roman" w:cs="Times New Roman"/>
        </w:rPr>
        <w:t>(</w:t>
      </w:r>
      <w:proofErr w:type="spellStart"/>
      <w:r w:rsidR="00B221D8" w:rsidRPr="00B221D8">
        <w:rPr>
          <w:rFonts w:ascii="Times New Roman" w:hAnsi="Times New Roman" w:cs="Times New Roman"/>
        </w:rPr>
        <w:t>Science</w:t>
      </w:r>
      <w:proofErr w:type="spellEnd"/>
      <w:r w:rsidR="00B221D8" w:rsidRPr="00B221D8">
        <w:rPr>
          <w:rFonts w:ascii="Times New Roman" w:hAnsi="Times New Roman" w:cs="Times New Roman"/>
        </w:rPr>
        <w:t xml:space="preserve">, </w:t>
      </w:r>
      <w:proofErr w:type="spellStart"/>
      <w:r w:rsidR="00B221D8" w:rsidRPr="00B221D8">
        <w:rPr>
          <w:rFonts w:ascii="Times New Roman" w:hAnsi="Times New Roman" w:cs="Times New Roman"/>
        </w:rPr>
        <w:lastRenderedPageBreak/>
        <w:t>Technology</w:t>
      </w:r>
      <w:proofErr w:type="spellEnd"/>
      <w:r w:rsidR="00B221D8" w:rsidRPr="00B221D8">
        <w:rPr>
          <w:rFonts w:ascii="Times New Roman" w:hAnsi="Times New Roman" w:cs="Times New Roman"/>
        </w:rPr>
        <w:t xml:space="preserve">, </w:t>
      </w:r>
      <w:proofErr w:type="spellStart"/>
      <w:r w:rsidR="00B221D8" w:rsidRPr="00B221D8">
        <w:rPr>
          <w:rFonts w:ascii="Times New Roman" w:hAnsi="Times New Roman" w:cs="Times New Roman"/>
        </w:rPr>
        <w:t>Engineering</w:t>
      </w:r>
      <w:proofErr w:type="spellEnd"/>
      <w:r w:rsidR="00B221D8" w:rsidRPr="00B221D8">
        <w:rPr>
          <w:rFonts w:ascii="Times New Roman" w:hAnsi="Times New Roman" w:cs="Times New Roman"/>
        </w:rPr>
        <w:t xml:space="preserve">, Art and </w:t>
      </w:r>
      <w:proofErr w:type="spellStart"/>
      <w:r w:rsidR="00B221D8" w:rsidRPr="00B221D8">
        <w:rPr>
          <w:rFonts w:ascii="Times New Roman" w:hAnsi="Times New Roman" w:cs="Times New Roman"/>
        </w:rPr>
        <w:t>Mathematics</w:t>
      </w:r>
      <w:proofErr w:type="spellEnd"/>
      <w:r w:rsidR="00E359BD">
        <w:rPr>
          <w:rFonts w:ascii="Times New Roman" w:hAnsi="Times New Roman" w:cs="Times New Roman"/>
        </w:rPr>
        <w:t xml:space="preserve">) </w:t>
      </w:r>
      <w:r w:rsidR="001A5776" w:rsidRPr="00FB1EFE">
        <w:rPr>
          <w:rFonts w:ascii="Times New Roman" w:hAnsi="Times New Roman" w:cs="Times New Roman"/>
        </w:rPr>
        <w:t>por aglutinarse su presencia en el sector servicios (sanidad, educación</w:t>
      </w:r>
      <w:r w:rsidR="00E359BD">
        <w:rPr>
          <w:rFonts w:ascii="Times New Roman" w:hAnsi="Times New Roman" w:cs="Times New Roman"/>
        </w:rPr>
        <w:t>, hostelería, cuidados, entre otras</w:t>
      </w:r>
      <w:r w:rsidR="001A5776" w:rsidRPr="00FB1EFE">
        <w:rPr>
          <w:rFonts w:ascii="Times New Roman" w:hAnsi="Times New Roman" w:cs="Times New Roman"/>
        </w:rPr>
        <w:t>)</w:t>
      </w:r>
      <w:r w:rsidR="009C5620">
        <w:rPr>
          <w:rStyle w:val="Refdenotaalpie"/>
          <w:rFonts w:ascii="Times New Roman" w:hAnsi="Times New Roman" w:cs="Times New Roman"/>
        </w:rPr>
        <w:footnoteReference w:id="6"/>
      </w:r>
      <w:r w:rsidR="001A5776" w:rsidRPr="00FB1EFE">
        <w:rPr>
          <w:rFonts w:ascii="Times New Roman" w:hAnsi="Times New Roman" w:cs="Times New Roman"/>
        </w:rPr>
        <w:t xml:space="preserve">. </w:t>
      </w:r>
    </w:p>
    <w:p w14:paraId="7BE20745" w14:textId="731741B5" w:rsidR="00100887" w:rsidRPr="00495A26" w:rsidRDefault="00100887" w:rsidP="00E21D22">
      <w:pPr>
        <w:pStyle w:val="Sinespaciado"/>
        <w:jc w:val="both"/>
        <w:rPr>
          <w:rFonts w:ascii="Times New Roman" w:hAnsi="Times New Roman" w:cs="Times New Roman"/>
        </w:rPr>
      </w:pPr>
      <w:r w:rsidRPr="00FB1EFE">
        <w:tab/>
      </w:r>
      <w:r w:rsidRPr="00495A26">
        <w:rPr>
          <w:rFonts w:ascii="Times New Roman" w:hAnsi="Times New Roman" w:cs="Times New Roman"/>
        </w:rPr>
        <w:t xml:space="preserve">En este sentido, y de acuerdo con los datos de </w:t>
      </w:r>
      <w:r w:rsidRPr="00E30080">
        <w:rPr>
          <w:rFonts w:ascii="Times New Roman" w:hAnsi="Times New Roman" w:cs="Times New Roman"/>
        </w:rPr>
        <w:t>DESI</w:t>
      </w:r>
      <w:r w:rsidRPr="00495A26">
        <w:rPr>
          <w:rFonts w:ascii="Times New Roman" w:hAnsi="Times New Roman" w:cs="Times New Roman"/>
        </w:rPr>
        <w:t xml:space="preserve"> 2020</w:t>
      </w:r>
      <w:r w:rsidR="00FA2E90">
        <w:rPr>
          <w:rStyle w:val="Refdenotaalpie"/>
          <w:rFonts w:ascii="Times New Roman" w:hAnsi="Times New Roman" w:cs="Times New Roman"/>
        </w:rPr>
        <w:footnoteReference w:id="7"/>
      </w:r>
      <w:r w:rsidRPr="00495A26">
        <w:rPr>
          <w:rFonts w:ascii="Times New Roman" w:hAnsi="Times New Roman" w:cs="Times New Roman"/>
        </w:rPr>
        <w:t>, el número de titulados en TIC aumentó considerablemente en España</w:t>
      </w:r>
      <w:r w:rsidR="00E359BD">
        <w:rPr>
          <w:rFonts w:ascii="Times New Roman" w:hAnsi="Times New Roman" w:cs="Times New Roman"/>
        </w:rPr>
        <w:t>,</w:t>
      </w:r>
      <w:r w:rsidRPr="00495A26">
        <w:rPr>
          <w:rFonts w:ascii="Times New Roman" w:hAnsi="Times New Roman" w:cs="Times New Roman"/>
        </w:rPr>
        <w:t xml:space="preserve"> representando el 4% de titulados en 2020 frente al 3,6 % de media en la UE. Sin embargo, el porcentaje de mujeres especialistas TIC solo alcanza un 1,1% frente al 1,4 % de media en la UE, que denota un diagnóstico negativo </w:t>
      </w:r>
      <w:r w:rsidR="00E359BD">
        <w:rPr>
          <w:rFonts w:ascii="Times New Roman" w:hAnsi="Times New Roman" w:cs="Times New Roman"/>
        </w:rPr>
        <w:t xml:space="preserve">por infrarrepresentado </w:t>
      </w:r>
      <w:r w:rsidRPr="00495A26">
        <w:rPr>
          <w:rFonts w:ascii="Times New Roman" w:hAnsi="Times New Roman" w:cs="Times New Roman"/>
        </w:rPr>
        <w:t xml:space="preserve">para la situación de la mujer en este sector. Por lo que se constata </w:t>
      </w:r>
      <w:r w:rsidR="000163BB" w:rsidRPr="00495A26">
        <w:rPr>
          <w:rFonts w:ascii="Times New Roman" w:hAnsi="Times New Roman" w:cs="Times New Roman"/>
        </w:rPr>
        <w:t xml:space="preserve">que </w:t>
      </w:r>
      <w:r w:rsidR="00EB5987">
        <w:rPr>
          <w:rFonts w:ascii="Times New Roman" w:hAnsi="Times New Roman" w:cs="Times New Roman"/>
        </w:rPr>
        <w:t xml:space="preserve">los porcentajes </w:t>
      </w:r>
      <w:r w:rsidR="000163BB" w:rsidRPr="00495A26">
        <w:rPr>
          <w:rFonts w:ascii="Times New Roman" w:hAnsi="Times New Roman" w:cs="Times New Roman"/>
        </w:rPr>
        <w:t xml:space="preserve">que </w:t>
      </w:r>
      <w:r w:rsidR="00EB5987">
        <w:rPr>
          <w:rFonts w:ascii="Times New Roman" w:hAnsi="Times New Roman" w:cs="Times New Roman"/>
        </w:rPr>
        <w:t>representan</w:t>
      </w:r>
      <w:r w:rsidR="00EB5987" w:rsidRPr="00495A26">
        <w:rPr>
          <w:rFonts w:ascii="Times New Roman" w:hAnsi="Times New Roman" w:cs="Times New Roman"/>
        </w:rPr>
        <w:t xml:space="preserve"> </w:t>
      </w:r>
      <w:r w:rsidR="000163BB" w:rsidRPr="00495A26">
        <w:rPr>
          <w:rFonts w:ascii="Times New Roman" w:hAnsi="Times New Roman" w:cs="Times New Roman"/>
        </w:rPr>
        <w:t>las mujeres en sectores STEAM es insuficiente y que podrían terminar por señalar que “las tecnologías están social y culturalmente definidas como masculinas y las competencias tecnológicas son entendidas como competencias propias del género masculino</w:t>
      </w:r>
      <w:r w:rsidR="007D21F4">
        <w:rPr>
          <w:rStyle w:val="Refdenotaalpie"/>
          <w:rFonts w:ascii="Times New Roman" w:hAnsi="Times New Roman" w:cs="Times New Roman"/>
        </w:rPr>
        <w:footnoteReference w:id="8"/>
      </w:r>
      <w:r w:rsidR="000163BB" w:rsidRPr="00495A26">
        <w:rPr>
          <w:rFonts w:ascii="Times New Roman" w:hAnsi="Times New Roman" w:cs="Times New Roman"/>
        </w:rPr>
        <w:t xml:space="preserve">”. </w:t>
      </w:r>
    </w:p>
    <w:p w14:paraId="1A5A332F" w14:textId="1972F508" w:rsidR="00397976" w:rsidRDefault="00100887" w:rsidP="00E21D22">
      <w:pPr>
        <w:pStyle w:val="Sinespaciado"/>
        <w:jc w:val="both"/>
        <w:rPr>
          <w:rFonts w:ascii="Times New Roman" w:hAnsi="Times New Roman" w:cs="Times New Roman"/>
        </w:rPr>
      </w:pPr>
      <w:r w:rsidRPr="00495A26">
        <w:rPr>
          <w:rFonts w:ascii="Times New Roman" w:hAnsi="Times New Roman" w:cs="Times New Roman"/>
        </w:rPr>
        <w:tab/>
      </w:r>
      <w:r w:rsidR="00397976" w:rsidRPr="00495A26">
        <w:rPr>
          <w:rFonts w:ascii="Times New Roman" w:hAnsi="Times New Roman" w:cs="Times New Roman"/>
        </w:rPr>
        <w:t xml:space="preserve">De este modo, se ha cuestionado si la revolución tecnología podría contribuir a una polarización </w:t>
      </w:r>
      <w:r w:rsidR="00250780">
        <w:rPr>
          <w:rFonts w:ascii="Times New Roman" w:hAnsi="Times New Roman" w:cs="Times New Roman"/>
        </w:rPr>
        <w:t xml:space="preserve">entre trabajadores y trabajadoras, a una suerte de </w:t>
      </w:r>
      <w:r w:rsidR="00CB7254">
        <w:rPr>
          <w:rFonts w:ascii="Times New Roman" w:hAnsi="Times New Roman" w:cs="Times New Roman"/>
        </w:rPr>
        <w:t xml:space="preserve">una </w:t>
      </w:r>
      <w:r w:rsidR="00250780">
        <w:rPr>
          <w:rFonts w:ascii="Times New Roman" w:hAnsi="Times New Roman" w:cs="Times New Roman"/>
        </w:rPr>
        <w:t xml:space="preserve">nueva brecha laboral, la </w:t>
      </w:r>
      <w:r w:rsidR="00397976" w:rsidRPr="00495A26">
        <w:rPr>
          <w:rFonts w:ascii="Times New Roman" w:hAnsi="Times New Roman" w:cs="Times New Roman"/>
        </w:rPr>
        <w:t>digital</w:t>
      </w:r>
      <w:r w:rsidR="00EC35D6">
        <w:rPr>
          <w:rStyle w:val="Refdenotaalpie"/>
          <w:rFonts w:ascii="Times New Roman" w:hAnsi="Times New Roman" w:cs="Times New Roman"/>
        </w:rPr>
        <w:footnoteReference w:id="9"/>
      </w:r>
      <w:r w:rsidR="000163BB" w:rsidRPr="00495A26">
        <w:rPr>
          <w:rFonts w:ascii="Times New Roman" w:hAnsi="Times New Roman" w:cs="Times New Roman"/>
        </w:rPr>
        <w:t>. Y que, como consecuencia de</w:t>
      </w:r>
      <w:r w:rsidR="00250780">
        <w:rPr>
          <w:rFonts w:ascii="Times New Roman" w:hAnsi="Times New Roman" w:cs="Times New Roman"/>
        </w:rPr>
        <w:t xml:space="preserve">l </w:t>
      </w:r>
      <w:r w:rsidR="000163BB" w:rsidRPr="00495A26">
        <w:rPr>
          <w:rFonts w:ascii="Times New Roman" w:hAnsi="Times New Roman" w:cs="Times New Roman"/>
        </w:rPr>
        <w:t>déficit de formación e interés por las tecnologías</w:t>
      </w:r>
      <w:r w:rsidR="00250780">
        <w:rPr>
          <w:rFonts w:ascii="Times New Roman" w:hAnsi="Times New Roman" w:cs="Times New Roman"/>
        </w:rPr>
        <w:t xml:space="preserve"> de las mujeres</w:t>
      </w:r>
      <w:r w:rsidR="000163BB" w:rsidRPr="00495A26">
        <w:rPr>
          <w:rFonts w:ascii="Times New Roman" w:hAnsi="Times New Roman" w:cs="Times New Roman"/>
        </w:rPr>
        <w:t xml:space="preserve">, </w:t>
      </w:r>
      <w:r w:rsidR="00250780">
        <w:rPr>
          <w:rFonts w:ascii="Times New Roman" w:hAnsi="Times New Roman" w:cs="Times New Roman"/>
        </w:rPr>
        <w:t xml:space="preserve">se </w:t>
      </w:r>
      <w:r w:rsidR="000163BB" w:rsidRPr="00495A26">
        <w:rPr>
          <w:rFonts w:ascii="Times New Roman" w:hAnsi="Times New Roman" w:cs="Times New Roman"/>
        </w:rPr>
        <w:t>dificult</w:t>
      </w:r>
      <w:r w:rsidR="00250780">
        <w:rPr>
          <w:rFonts w:ascii="Times New Roman" w:hAnsi="Times New Roman" w:cs="Times New Roman"/>
        </w:rPr>
        <w:t>e</w:t>
      </w:r>
      <w:r w:rsidR="000163BB" w:rsidRPr="00495A26">
        <w:rPr>
          <w:rFonts w:ascii="Times New Roman" w:hAnsi="Times New Roman" w:cs="Times New Roman"/>
        </w:rPr>
        <w:t xml:space="preserve"> </w:t>
      </w:r>
      <w:r w:rsidR="00250780">
        <w:rPr>
          <w:rFonts w:ascii="Times New Roman" w:hAnsi="Times New Roman" w:cs="Times New Roman"/>
        </w:rPr>
        <w:t>su</w:t>
      </w:r>
      <w:r w:rsidR="00250780" w:rsidRPr="00495A26">
        <w:rPr>
          <w:rFonts w:ascii="Times New Roman" w:hAnsi="Times New Roman" w:cs="Times New Roman"/>
        </w:rPr>
        <w:t xml:space="preserve"> </w:t>
      </w:r>
      <w:r w:rsidR="000163BB" w:rsidRPr="00495A26">
        <w:rPr>
          <w:rFonts w:ascii="Times New Roman" w:hAnsi="Times New Roman" w:cs="Times New Roman"/>
        </w:rPr>
        <w:t>acceso a empleos más cualificados y, por ende, con mejores salarios. Por tales razones, se aborda a continuación qué posibilidades existen, desde el ámbito público hasta el ámbito empresarial, para paliar y disminuir los obstáculos que amenazan</w:t>
      </w:r>
      <w:r w:rsidR="00F11BD9" w:rsidRPr="00495A26">
        <w:rPr>
          <w:rFonts w:ascii="Times New Roman" w:hAnsi="Times New Roman" w:cs="Times New Roman"/>
        </w:rPr>
        <w:t xml:space="preserve"> con</w:t>
      </w:r>
      <w:r w:rsidR="000163BB" w:rsidRPr="00495A26">
        <w:rPr>
          <w:rFonts w:ascii="Times New Roman" w:hAnsi="Times New Roman" w:cs="Times New Roman"/>
        </w:rPr>
        <w:t xml:space="preserve"> </w:t>
      </w:r>
      <w:r w:rsidR="00F11BD9" w:rsidRPr="00495A26">
        <w:rPr>
          <w:rFonts w:ascii="Times New Roman" w:hAnsi="Times New Roman" w:cs="Times New Roman"/>
        </w:rPr>
        <w:t>postergar la</w:t>
      </w:r>
      <w:r w:rsidR="000163BB" w:rsidRPr="00495A26">
        <w:rPr>
          <w:rFonts w:ascii="Times New Roman" w:hAnsi="Times New Roman" w:cs="Times New Roman"/>
        </w:rPr>
        <w:t xml:space="preserve"> brecha digital de género </w:t>
      </w:r>
      <w:r w:rsidR="00F11BD9" w:rsidRPr="00495A26">
        <w:rPr>
          <w:rFonts w:ascii="Times New Roman" w:hAnsi="Times New Roman" w:cs="Times New Roman"/>
        </w:rPr>
        <w:t>en el mundo del trabajo digital del futuro</w:t>
      </w:r>
      <w:r w:rsidR="00262A27">
        <w:rPr>
          <w:rStyle w:val="Refdenotaalpie"/>
          <w:rFonts w:ascii="Times New Roman" w:hAnsi="Times New Roman" w:cs="Times New Roman"/>
        </w:rPr>
        <w:footnoteReference w:id="10"/>
      </w:r>
      <w:r w:rsidR="00F11BD9" w:rsidRPr="00495A26">
        <w:rPr>
          <w:rFonts w:ascii="Times New Roman" w:hAnsi="Times New Roman" w:cs="Times New Roman"/>
        </w:rPr>
        <w:t xml:space="preserve">. </w:t>
      </w:r>
    </w:p>
    <w:p w14:paraId="43F17B8A" w14:textId="77777777" w:rsidR="00250780" w:rsidRPr="00495A26" w:rsidRDefault="00250780" w:rsidP="00E21D22">
      <w:pPr>
        <w:pStyle w:val="Sinespaciado"/>
        <w:jc w:val="both"/>
        <w:rPr>
          <w:rFonts w:ascii="Times New Roman" w:hAnsi="Times New Roman" w:cs="Times New Roman"/>
        </w:rPr>
      </w:pPr>
    </w:p>
    <w:p w14:paraId="5B7E436D" w14:textId="3A039C66" w:rsidR="007E0C14" w:rsidRPr="00A070F3" w:rsidRDefault="00032A8E" w:rsidP="00E21D22">
      <w:pPr>
        <w:pStyle w:val="Prrafodelista"/>
        <w:numPr>
          <w:ilvl w:val="0"/>
          <w:numId w:val="1"/>
        </w:numPr>
        <w:jc w:val="both"/>
        <w:rPr>
          <w:rFonts w:ascii="Times New Roman" w:hAnsi="Times New Roman" w:cs="Times New Roman"/>
          <w:b/>
          <w:bCs/>
        </w:rPr>
      </w:pPr>
      <w:r w:rsidRPr="00A070F3">
        <w:rPr>
          <w:rFonts w:ascii="Times New Roman" w:hAnsi="Times New Roman" w:cs="Times New Roman"/>
          <w:b/>
          <w:bCs/>
        </w:rPr>
        <w:t>Propuestas de actuación</w:t>
      </w:r>
    </w:p>
    <w:p w14:paraId="29484487" w14:textId="68B30311" w:rsidR="004E39E0" w:rsidRDefault="007E0C14" w:rsidP="00E21D22">
      <w:pPr>
        <w:jc w:val="both"/>
        <w:rPr>
          <w:rFonts w:ascii="Times New Roman" w:hAnsi="Times New Roman" w:cs="Times New Roman"/>
        </w:rPr>
      </w:pPr>
      <w:r>
        <w:rPr>
          <w:rFonts w:ascii="Times New Roman" w:hAnsi="Times New Roman" w:cs="Times New Roman"/>
        </w:rPr>
        <w:tab/>
        <w:t>Por consiguiente, es posible diferenciar entre dos vías por las que</w:t>
      </w:r>
      <w:r w:rsidR="00B221D8">
        <w:rPr>
          <w:rFonts w:ascii="Times New Roman" w:hAnsi="Times New Roman" w:cs="Times New Roman"/>
        </w:rPr>
        <w:t xml:space="preserve">, </w:t>
      </w:r>
      <w:r>
        <w:rPr>
          <w:rFonts w:ascii="Times New Roman" w:hAnsi="Times New Roman" w:cs="Times New Roman"/>
        </w:rPr>
        <w:t>preferentemente</w:t>
      </w:r>
      <w:r w:rsidR="00B221D8">
        <w:rPr>
          <w:rFonts w:ascii="Times New Roman" w:hAnsi="Times New Roman" w:cs="Times New Roman"/>
        </w:rPr>
        <w:t>,</w:t>
      </w:r>
      <w:r>
        <w:rPr>
          <w:rFonts w:ascii="Times New Roman" w:hAnsi="Times New Roman" w:cs="Times New Roman"/>
        </w:rPr>
        <w:t xml:space="preserve"> se ha optado </w:t>
      </w:r>
      <w:r w:rsidR="00B221D8">
        <w:rPr>
          <w:rFonts w:ascii="Times New Roman" w:hAnsi="Times New Roman" w:cs="Times New Roman"/>
        </w:rPr>
        <w:t>para</w:t>
      </w:r>
      <w:r>
        <w:rPr>
          <w:rFonts w:ascii="Times New Roman" w:hAnsi="Times New Roman" w:cs="Times New Roman"/>
        </w:rPr>
        <w:t xml:space="preserve"> eliminar la b</w:t>
      </w:r>
      <w:r w:rsidR="00B221D8">
        <w:rPr>
          <w:rFonts w:ascii="Times New Roman" w:hAnsi="Times New Roman" w:cs="Times New Roman"/>
        </w:rPr>
        <w:t>rech</w:t>
      </w:r>
      <w:r>
        <w:rPr>
          <w:rFonts w:ascii="Times New Roman" w:hAnsi="Times New Roman" w:cs="Times New Roman"/>
        </w:rPr>
        <w:t xml:space="preserve">a digital: desde el ámbito público y desde el ámbito privado, como se expondrá a continuación. </w:t>
      </w:r>
    </w:p>
    <w:p w14:paraId="1250DB47" w14:textId="77777777" w:rsidR="00B221D8" w:rsidRDefault="00B221D8" w:rsidP="00E21D22">
      <w:pPr>
        <w:jc w:val="both"/>
        <w:rPr>
          <w:rFonts w:ascii="Times New Roman" w:hAnsi="Times New Roman" w:cs="Times New Roman"/>
        </w:rPr>
      </w:pPr>
    </w:p>
    <w:p w14:paraId="29B72A09" w14:textId="36898A47" w:rsidR="00B221D8" w:rsidRPr="00A070F3" w:rsidRDefault="00B221D8" w:rsidP="00E21D22">
      <w:pPr>
        <w:pStyle w:val="Prrafodelista"/>
        <w:numPr>
          <w:ilvl w:val="1"/>
          <w:numId w:val="1"/>
        </w:numPr>
        <w:jc w:val="both"/>
        <w:rPr>
          <w:rFonts w:ascii="Times New Roman" w:hAnsi="Times New Roman" w:cs="Times New Roman"/>
          <w:b/>
          <w:bCs/>
        </w:rPr>
      </w:pPr>
      <w:r>
        <w:rPr>
          <w:rFonts w:ascii="Times New Roman" w:hAnsi="Times New Roman" w:cs="Times New Roman"/>
          <w:b/>
          <w:bCs/>
        </w:rPr>
        <w:t xml:space="preserve"> </w:t>
      </w:r>
      <w:r w:rsidR="004E39E0" w:rsidRPr="00A070F3">
        <w:rPr>
          <w:rFonts w:ascii="Times New Roman" w:hAnsi="Times New Roman" w:cs="Times New Roman"/>
          <w:b/>
          <w:bCs/>
        </w:rPr>
        <w:t>Desde el ámbito público</w:t>
      </w:r>
    </w:p>
    <w:p w14:paraId="5722D0EA" w14:textId="77777777" w:rsidR="00B221D8" w:rsidRDefault="00D9112A" w:rsidP="00E21D22">
      <w:pPr>
        <w:jc w:val="both"/>
        <w:rPr>
          <w:rFonts w:ascii="Times New Roman" w:hAnsi="Times New Roman" w:cs="Times New Roman"/>
        </w:rPr>
      </w:pPr>
      <w:r>
        <w:rPr>
          <w:rFonts w:ascii="Times New Roman" w:hAnsi="Times New Roman" w:cs="Times New Roman"/>
        </w:rPr>
        <w:tab/>
      </w:r>
      <w:r w:rsidR="004C31AE">
        <w:rPr>
          <w:rFonts w:ascii="Times New Roman" w:hAnsi="Times New Roman" w:cs="Times New Roman"/>
        </w:rPr>
        <w:t xml:space="preserve">En primer lugar, desde el ámbito público, es preciso señalar que el art. 28 LOI hace referencia expresa a la encomienda que deben asumir los poderes públicos </w:t>
      </w:r>
      <w:r w:rsidR="000F3D3D">
        <w:rPr>
          <w:rFonts w:ascii="Times New Roman" w:hAnsi="Times New Roman" w:cs="Times New Roman"/>
        </w:rPr>
        <w:t>en cuanto a garantizar</w:t>
      </w:r>
      <w:r w:rsidR="004C31AE">
        <w:rPr>
          <w:rFonts w:ascii="Times New Roman" w:hAnsi="Times New Roman" w:cs="Times New Roman"/>
        </w:rPr>
        <w:t xml:space="preserve"> la incorporación de las mujeres en la sociedad digital. </w:t>
      </w:r>
    </w:p>
    <w:p w14:paraId="4FD8C135" w14:textId="2E7F431E" w:rsidR="004E39E0" w:rsidRDefault="004C31AE" w:rsidP="00E21D22">
      <w:pPr>
        <w:ind w:firstLine="708"/>
        <w:jc w:val="both"/>
        <w:rPr>
          <w:rFonts w:ascii="Times New Roman" w:hAnsi="Times New Roman" w:cs="Times New Roman"/>
        </w:rPr>
      </w:pPr>
      <w:r>
        <w:rPr>
          <w:rFonts w:ascii="Times New Roman" w:hAnsi="Times New Roman" w:cs="Times New Roman"/>
        </w:rPr>
        <w:t>En este sentido, el desarrollo de programas públicos de la Sociedad de la Información debe llevarse a cabo con una perspectiva de género, de tal modo que</w:t>
      </w:r>
      <w:r w:rsidR="00E86BFF">
        <w:rPr>
          <w:rFonts w:ascii="Times New Roman" w:hAnsi="Times New Roman" w:cs="Times New Roman"/>
        </w:rPr>
        <w:t xml:space="preserve"> tanto al momento de su diseño como al momento de su ejecución deba observarse el principio de igualdad de </w:t>
      </w:r>
      <w:r w:rsidR="00B221D8">
        <w:rPr>
          <w:rFonts w:ascii="Times New Roman" w:hAnsi="Times New Roman" w:cs="Times New Roman"/>
        </w:rPr>
        <w:t xml:space="preserve">trato y </w:t>
      </w:r>
      <w:r w:rsidR="00E86BFF">
        <w:rPr>
          <w:rFonts w:ascii="Times New Roman" w:hAnsi="Times New Roman" w:cs="Times New Roman"/>
        </w:rPr>
        <w:t>oportunidades entre mujeres y hombres</w:t>
      </w:r>
      <w:r w:rsidR="00B221D8">
        <w:rPr>
          <w:rFonts w:ascii="Times New Roman" w:hAnsi="Times New Roman" w:cs="Times New Roman"/>
        </w:rPr>
        <w:t xml:space="preserve"> (igualdad real)</w:t>
      </w:r>
      <w:r w:rsidR="00E86BFF">
        <w:rPr>
          <w:rFonts w:ascii="Times New Roman" w:hAnsi="Times New Roman" w:cs="Times New Roman"/>
        </w:rPr>
        <w:t>. As</w:t>
      </w:r>
      <w:r w:rsidR="00B221D8">
        <w:rPr>
          <w:rFonts w:ascii="Times New Roman" w:hAnsi="Times New Roman" w:cs="Times New Roman"/>
        </w:rPr>
        <w:t>i</w:t>
      </w:r>
      <w:r w:rsidR="00E86BFF">
        <w:rPr>
          <w:rFonts w:ascii="Times New Roman" w:hAnsi="Times New Roman" w:cs="Times New Roman"/>
        </w:rPr>
        <w:t>mismo, se insta a promover programas específicos que permitan lograr la plena incorporación de las mujeres en la Sociedad de la Información, como puede ser, en programas de formación sobre tecnologías de la información y las comunicaciones</w:t>
      </w:r>
      <w:r w:rsidR="0093089F">
        <w:rPr>
          <w:rFonts w:ascii="Times New Roman" w:hAnsi="Times New Roman" w:cs="Times New Roman"/>
        </w:rPr>
        <w:t xml:space="preserve"> para </w:t>
      </w:r>
      <w:r w:rsidR="00D9112A">
        <w:rPr>
          <w:rFonts w:ascii="Times New Roman" w:hAnsi="Times New Roman" w:cs="Times New Roman"/>
        </w:rPr>
        <w:t xml:space="preserve">disuadir los obstáculos de las mujeres en su acceso y relación con las tecnologías. </w:t>
      </w:r>
    </w:p>
    <w:p w14:paraId="165C620D" w14:textId="3C836FC5" w:rsidR="00B35F2E" w:rsidRDefault="007E0C14" w:rsidP="00E21D22">
      <w:pPr>
        <w:jc w:val="both"/>
        <w:rPr>
          <w:rFonts w:ascii="Times New Roman" w:hAnsi="Times New Roman" w:cs="Times New Roman"/>
        </w:rPr>
      </w:pPr>
      <w:r>
        <w:rPr>
          <w:rFonts w:ascii="Times New Roman" w:hAnsi="Times New Roman" w:cs="Times New Roman"/>
        </w:rPr>
        <w:lastRenderedPageBreak/>
        <w:tab/>
      </w:r>
      <w:r w:rsidR="004C31AE">
        <w:rPr>
          <w:rFonts w:ascii="Times New Roman" w:hAnsi="Times New Roman" w:cs="Times New Roman"/>
        </w:rPr>
        <w:t>Conforme a lo expuesto,</w:t>
      </w:r>
      <w:r>
        <w:rPr>
          <w:rFonts w:ascii="Times New Roman" w:hAnsi="Times New Roman" w:cs="Times New Roman"/>
        </w:rPr>
        <w:t xml:space="preserve"> es posible identificar varios programas que se han puesto en marcha al respecto. En primer lugar, la </w:t>
      </w:r>
      <w:r w:rsidR="00E86BFF">
        <w:rPr>
          <w:rFonts w:ascii="Times New Roman" w:hAnsi="Times New Roman" w:cs="Times New Roman"/>
        </w:rPr>
        <w:t>Agenda 2025</w:t>
      </w:r>
      <w:r w:rsidR="009C5620">
        <w:rPr>
          <w:rStyle w:val="Refdenotaalpie"/>
          <w:rFonts w:ascii="Times New Roman" w:hAnsi="Times New Roman" w:cs="Times New Roman"/>
        </w:rPr>
        <w:footnoteReference w:id="11"/>
      </w:r>
      <w:r w:rsidR="00E86BFF">
        <w:rPr>
          <w:rFonts w:ascii="Times New Roman" w:hAnsi="Times New Roman" w:cs="Times New Roman"/>
        </w:rPr>
        <w:t xml:space="preserve"> recoge entre una de las acciones, “reforzar las competencias digitales de los trabajadores y del conjunto de la ciudadanía”, fijándose como meta para el año 2025 que el 80% de las personas posean competencias digitales básicas y, además, que como mínimo las mujeres alcancen la cuota del 50%. </w:t>
      </w:r>
    </w:p>
    <w:p w14:paraId="42062652" w14:textId="5DDFE425" w:rsidR="004E39E0" w:rsidRDefault="00B35F2E" w:rsidP="00E21D22">
      <w:pPr>
        <w:jc w:val="both"/>
        <w:rPr>
          <w:rFonts w:ascii="Times New Roman" w:hAnsi="Times New Roman" w:cs="Times New Roman"/>
        </w:rPr>
      </w:pPr>
      <w:r>
        <w:rPr>
          <w:rFonts w:ascii="Times New Roman" w:hAnsi="Times New Roman" w:cs="Times New Roman"/>
        </w:rPr>
        <w:tab/>
      </w:r>
      <w:r w:rsidR="00652B81">
        <w:rPr>
          <w:rFonts w:ascii="Times New Roman" w:hAnsi="Times New Roman" w:cs="Times New Roman"/>
        </w:rPr>
        <w:t xml:space="preserve">Por otro lado, </w:t>
      </w:r>
      <w:r w:rsidR="00491D30">
        <w:rPr>
          <w:rFonts w:ascii="Times New Roman" w:hAnsi="Times New Roman" w:cs="Times New Roman"/>
        </w:rPr>
        <w:t>el Plan Nacional de Competencias digitales</w:t>
      </w:r>
      <w:r w:rsidR="00FA2E90">
        <w:rPr>
          <w:rStyle w:val="Refdenotaalpie"/>
          <w:rFonts w:ascii="Times New Roman" w:hAnsi="Times New Roman" w:cs="Times New Roman"/>
        </w:rPr>
        <w:footnoteReference w:id="12"/>
      </w:r>
      <w:r w:rsidR="00B221D8">
        <w:rPr>
          <w:rFonts w:ascii="Times New Roman" w:hAnsi="Times New Roman" w:cs="Times New Roman"/>
        </w:rPr>
        <w:t>,</w:t>
      </w:r>
      <w:r w:rsidR="00491D30">
        <w:rPr>
          <w:rFonts w:ascii="Times New Roman" w:hAnsi="Times New Roman" w:cs="Times New Roman"/>
        </w:rPr>
        <w:t xml:space="preserve"> sin </w:t>
      </w:r>
      <w:r w:rsidR="00B221D8">
        <w:rPr>
          <w:rFonts w:ascii="Times New Roman" w:hAnsi="Times New Roman" w:cs="Times New Roman"/>
        </w:rPr>
        <w:t xml:space="preserve">minimizar </w:t>
      </w:r>
      <w:r w:rsidR="00491D30">
        <w:rPr>
          <w:rFonts w:ascii="Times New Roman" w:hAnsi="Times New Roman" w:cs="Times New Roman"/>
        </w:rPr>
        <w:t>los aspectos positivos que plantea el desarrollo tecnológico</w:t>
      </w:r>
      <w:r w:rsidR="00B221D8">
        <w:rPr>
          <w:rFonts w:ascii="Times New Roman" w:hAnsi="Times New Roman" w:cs="Times New Roman"/>
        </w:rPr>
        <w:t>,</w:t>
      </w:r>
      <w:r w:rsidR="00491D30">
        <w:rPr>
          <w:rFonts w:ascii="Times New Roman" w:hAnsi="Times New Roman" w:cs="Times New Roman"/>
        </w:rPr>
        <w:t xml:space="preserve"> prevé que es indispensable que en el proceso de inclusión digital ningún colectivo pueda quedarse atrás. De hecho, plantea </w:t>
      </w:r>
      <w:r w:rsidR="00830206">
        <w:rPr>
          <w:rFonts w:ascii="Times New Roman" w:hAnsi="Times New Roman" w:cs="Times New Roman"/>
        </w:rPr>
        <w:t xml:space="preserve">varios ejes sobre los que atajar la alfabetización digital de la población, concretamente uno de ellos consiste en la lucha contra la brecha digital de género. </w:t>
      </w:r>
      <w:r w:rsidR="008F69FD">
        <w:rPr>
          <w:rFonts w:ascii="Times New Roman" w:hAnsi="Times New Roman" w:cs="Times New Roman"/>
        </w:rPr>
        <w:t xml:space="preserve">Para ello se ha propuesto adoptar medidas como un programa de fomento de vocaciones científico-tecnológicas en el sistema educativo y un programa de fomento de la capacitación digital de las mujeres y de participación en itinerarios formativos tecnológicos. </w:t>
      </w:r>
    </w:p>
    <w:p w14:paraId="689BB025" w14:textId="3B16BA4A" w:rsidR="00B35F2E" w:rsidRDefault="00797910" w:rsidP="00E21D22">
      <w:pPr>
        <w:jc w:val="both"/>
        <w:rPr>
          <w:rFonts w:ascii="Times New Roman" w:hAnsi="Times New Roman" w:cs="Times New Roman"/>
        </w:rPr>
      </w:pPr>
      <w:r>
        <w:rPr>
          <w:rFonts w:ascii="Times New Roman" w:hAnsi="Times New Roman" w:cs="Times New Roman"/>
        </w:rPr>
        <w:tab/>
      </w:r>
      <w:r w:rsidR="00B35F2E">
        <w:rPr>
          <w:rFonts w:ascii="Times New Roman" w:hAnsi="Times New Roman" w:cs="Times New Roman"/>
        </w:rPr>
        <w:t xml:space="preserve">Y, </w:t>
      </w:r>
      <w:r w:rsidR="00EB5987">
        <w:rPr>
          <w:rFonts w:ascii="Times New Roman" w:hAnsi="Times New Roman" w:cs="Times New Roman"/>
        </w:rPr>
        <w:t xml:space="preserve">por último, </w:t>
      </w:r>
      <w:r>
        <w:rPr>
          <w:rFonts w:ascii="Times New Roman" w:hAnsi="Times New Roman" w:cs="Times New Roman"/>
        </w:rPr>
        <w:t>en el marco del Plan de Recuperación, Transformación y Resiliencia</w:t>
      </w:r>
      <w:r w:rsidR="009C5620">
        <w:rPr>
          <w:rStyle w:val="Refdenotaalpie"/>
          <w:rFonts w:ascii="Times New Roman" w:hAnsi="Times New Roman" w:cs="Times New Roman"/>
        </w:rPr>
        <w:footnoteReference w:id="13"/>
      </w:r>
      <w:r w:rsidR="00EB5987">
        <w:rPr>
          <w:rFonts w:ascii="Times New Roman" w:hAnsi="Times New Roman" w:cs="Times New Roman"/>
        </w:rPr>
        <w:t>,</w:t>
      </w:r>
      <w:r>
        <w:rPr>
          <w:rFonts w:ascii="Times New Roman" w:hAnsi="Times New Roman" w:cs="Times New Roman"/>
        </w:rPr>
        <w:t xml:space="preserve"> la línea de actuación “competencias digitales para el empleo” pretende reforzar las competencias digitales de las personas desempleadas</w:t>
      </w:r>
      <w:r w:rsidR="00EB5987">
        <w:rPr>
          <w:rFonts w:ascii="Times New Roman" w:hAnsi="Times New Roman" w:cs="Times New Roman"/>
        </w:rPr>
        <w:t>,</w:t>
      </w:r>
      <w:r>
        <w:rPr>
          <w:rFonts w:ascii="Times New Roman" w:hAnsi="Times New Roman" w:cs="Times New Roman"/>
        </w:rPr>
        <w:t xml:space="preserve"> así como reducir la brecha de género. De este modo, el objetivo es aportar una formación en competencias digitales a mujeres en desempleo acorde con la demanda del sistema productivo. </w:t>
      </w:r>
    </w:p>
    <w:p w14:paraId="6E2D5A43" w14:textId="365252DD" w:rsidR="00CE376D" w:rsidRDefault="00CE6761" w:rsidP="00E21D22">
      <w:pPr>
        <w:jc w:val="both"/>
        <w:rPr>
          <w:rFonts w:ascii="Times New Roman" w:hAnsi="Times New Roman" w:cs="Times New Roman"/>
        </w:rPr>
      </w:pPr>
      <w:r>
        <w:rPr>
          <w:rFonts w:ascii="Times New Roman" w:hAnsi="Times New Roman" w:cs="Times New Roman"/>
        </w:rPr>
        <w:tab/>
      </w:r>
      <w:r w:rsidR="00B35F2E">
        <w:rPr>
          <w:rFonts w:ascii="Times New Roman" w:hAnsi="Times New Roman" w:cs="Times New Roman"/>
        </w:rPr>
        <w:t>No constituye una cuestión baladí la</w:t>
      </w:r>
      <w:r>
        <w:rPr>
          <w:rFonts w:ascii="Times New Roman" w:hAnsi="Times New Roman" w:cs="Times New Roman"/>
        </w:rPr>
        <w:t xml:space="preserve"> necesidad de aportar a las mujeres </w:t>
      </w:r>
      <w:r w:rsidR="00B35F2E">
        <w:rPr>
          <w:rFonts w:ascii="Times New Roman" w:hAnsi="Times New Roman" w:cs="Times New Roman"/>
        </w:rPr>
        <w:t xml:space="preserve">formación y recualificación </w:t>
      </w:r>
      <w:r>
        <w:rPr>
          <w:rFonts w:ascii="Times New Roman" w:hAnsi="Times New Roman" w:cs="Times New Roman"/>
        </w:rPr>
        <w:t xml:space="preserve">en materia digital, más aún si cabe cuando la UE ha adelantado la irrupción de la industria 5.0 mostrando interés en el protagonismo que asumirán las habilidades específicas, entre ellas, las tecnológicas. </w:t>
      </w:r>
      <w:r w:rsidR="001D3415">
        <w:rPr>
          <w:rFonts w:ascii="Times New Roman" w:hAnsi="Times New Roman" w:cs="Times New Roman"/>
        </w:rPr>
        <w:t xml:space="preserve">Por tales motivos, plantea que es fundamental </w:t>
      </w:r>
      <w:proofErr w:type="spellStart"/>
      <w:r w:rsidR="001D3415">
        <w:rPr>
          <w:rFonts w:ascii="Times New Roman" w:hAnsi="Times New Roman" w:cs="Times New Roman"/>
        </w:rPr>
        <w:t>recualificar</w:t>
      </w:r>
      <w:proofErr w:type="spellEnd"/>
      <w:r w:rsidR="001D3415">
        <w:rPr>
          <w:rFonts w:ascii="Times New Roman" w:hAnsi="Times New Roman" w:cs="Times New Roman"/>
        </w:rPr>
        <w:t xml:space="preserve"> a las personas trabajadoras para garantizar un nivel básico de conocimientos </w:t>
      </w:r>
      <w:r w:rsidR="00CE376D">
        <w:rPr>
          <w:rFonts w:ascii="Times New Roman" w:hAnsi="Times New Roman" w:cs="Times New Roman"/>
        </w:rPr>
        <w:t xml:space="preserve">en habilidades digitales como alfabetización digital, inteligencia artificial y análisis de datos o ciberseguridad, entre otras. Es por lo que es sumamente importante </w:t>
      </w:r>
      <w:r w:rsidR="00E44A90">
        <w:rPr>
          <w:rFonts w:ascii="Times New Roman" w:hAnsi="Times New Roman" w:cs="Times New Roman"/>
        </w:rPr>
        <w:t xml:space="preserve">mostrar una seria consciencia respecto a </w:t>
      </w:r>
      <w:r w:rsidR="00CE376D">
        <w:rPr>
          <w:rFonts w:ascii="Times New Roman" w:hAnsi="Times New Roman" w:cs="Times New Roman"/>
        </w:rPr>
        <w:t>que una nueva revolución industrial pued</w:t>
      </w:r>
      <w:r w:rsidR="00E44A90">
        <w:rPr>
          <w:rFonts w:ascii="Times New Roman" w:hAnsi="Times New Roman" w:cs="Times New Roman"/>
        </w:rPr>
        <w:t>e</w:t>
      </w:r>
      <w:r w:rsidR="00CE376D">
        <w:rPr>
          <w:rFonts w:ascii="Times New Roman" w:hAnsi="Times New Roman" w:cs="Times New Roman"/>
        </w:rPr>
        <w:t xml:space="preserve"> suponer una continuidad en la brecha digital de género y, por ende, en una dificultad añadida para que las mujeres interactúen en la sociedad digital así como en el acceso al empleo digital. Superada esta reflexión, se propone a continuación desde otra óptica el atajo a las barreras u obstáculos que inciden en las relaciones entre las mujeres y las tecnologías. </w:t>
      </w:r>
    </w:p>
    <w:p w14:paraId="04C6B437" w14:textId="77777777" w:rsidR="00E30080" w:rsidRDefault="00E30080" w:rsidP="00E21D22">
      <w:pPr>
        <w:jc w:val="both"/>
        <w:rPr>
          <w:rFonts w:ascii="Times New Roman" w:hAnsi="Times New Roman" w:cs="Times New Roman"/>
        </w:rPr>
      </w:pPr>
    </w:p>
    <w:p w14:paraId="69DF9508" w14:textId="71F578FA" w:rsidR="004E39E0" w:rsidRPr="00A070F3" w:rsidRDefault="00C96A90" w:rsidP="00E21D22">
      <w:pPr>
        <w:pStyle w:val="Prrafodelista"/>
        <w:numPr>
          <w:ilvl w:val="1"/>
          <w:numId w:val="1"/>
        </w:numPr>
        <w:jc w:val="both"/>
        <w:rPr>
          <w:rFonts w:ascii="Times New Roman" w:hAnsi="Times New Roman" w:cs="Times New Roman"/>
          <w:b/>
          <w:bCs/>
        </w:rPr>
      </w:pPr>
      <w:r w:rsidRPr="00A070F3">
        <w:rPr>
          <w:rFonts w:ascii="Times New Roman" w:hAnsi="Times New Roman" w:cs="Times New Roman"/>
          <w:b/>
          <w:bCs/>
        </w:rPr>
        <w:t xml:space="preserve"> </w:t>
      </w:r>
      <w:r w:rsidR="004E39E0" w:rsidRPr="00A070F3">
        <w:rPr>
          <w:rFonts w:ascii="Times New Roman" w:hAnsi="Times New Roman" w:cs="Times New Roman"/>
          <w:b/>
          <w:bCs/>
        </w:rPr>
        <w:t xml:space="preserve">Desde el ámbito privado </w:t>
      </w:r>
    </w:p>
    <w:p w14:paraId="69AA1EB2" w14:textId="1FE2D870" w:rsidR="004E39E0" w:rsidRDefault="00D4712C" w:rsidP="00E21D22">
      <w:pPr>
        <w:jc w:val="both"/>
        <w:rPr>
          <w:rFonts w:ascii="Times New Roman" w:hAnsi="Times New Roman" w:cs="Times New Roman"/>
        </w:rPr>
      </w:pPr>
      <w:r>
        <w:rPr>
          <w:rFonts w:ascii="Times New Roman" w:hAnsi="Times New Roman" w:cs="Times New Roman"/>
        </w:rPr>
        <w:tab/>
      </w:r>
      <w:r w:rsidR="004E39E0">
        <w:rPr>
          <w:rFonts w:ascii="Times New Roman" w:hAnsi="Times New Roman" w:cs="Times New Roman"/>
        </w:rPr>
        <w:t>Por otro lado, desde el ámbito de la empresa</w:t>
      </w:r>
      <w:r w:rsidR="00262537">
        <w:rPr>
          <w:rFonts w:ascii="Times New Roman" w:hAnsi="Times New Roman" w:cs="Times New Roman"/>
        </w:rPr>
        <w:t>,</w:t>
      </w:r>
      <w:r w:rsidR="00D1058F">
        <w:rPr>
          <w:rFonts w:ascii="Times New Roman" w:hAnsi="Times New Roman" w:cs="Times New Roman"/>
        </w:rPr>
        <w:t xml:space="preserve"> se plantea si el P</w:t>
      </w:r>
      <w:r w:rsidR="00495A26">
        <w:rPr>
          <w:rFonts w:ascii="Times New Roman" w:hAnsi="Times New Roman" w:cs="Times New Roman"/>
        </w:rPr>
        <w:t>lan de Igualdad (P</w:t>
      </w:r>
      <w:r w:rsidR="00D1058F">
        <w:rPr>
          <w:rFonts w:ascii="Times New Roman" w:hAnsi="Times New Roman" w:cs="Times New Roman"/>
        </w:rPr>
        <w:t>I</w:t>
      </w:r>
      <w:r w:rsidR="00495A26">
        <w:rPr>
          <w:rFonts w:ascii="Times New Roman" w:hAnsi="Times New Roman" w:cs="Times New Roman"/>
        </w:rPr>
        <w:t xml:space="preserve">) </w:t>
      </w:r>
      <w:r w:rsidR="00D1058F">
        <w:rPr>
          <w:rFonts w:ascii="Times New Roman" w:hAnsi="Times New Roman" w:cs="Times New Roman"/>
        </w:rPr>
        <w:t>verdaderamente constituye un medio idóneo para superar la brecha digital. En este sentido</w:t>
      </w:r>
      <w:r w:rsidR="00262537">
        <w:rPr>
          <w:rFonts w:ascii="Times New Roman" w:hAnsi="Times New Roman" w:cs="Times New Roman"/>
        </w:rPr>
        <w:t xml:space="preserve"> el art. 7 del RD</w:t>
      </w:r>
      <w:r w:rsidR="00281C04">
        <w:rPr>
          <w:rFonts w:ascii="Times New Roman" w:hAnsi="Times New Roman" w:cs="Times New Roman"/>
        </w:rPr>
        <w:t xml:space="preserve"> 901/2020</w:t>
      </w:r>
      <w:r w:rsidR="00262537">
        <w:rPr>
          <w:rFonts w:ascii="Times New Roman" w:hAnsi="Times New Roman" w:cs="Times New Roman"/>
        </w:rPr>
        <w:t xml:space="preserve"> </w:t>
      </w:r>
      <w:r w:rsidR="00281C04" w:rsidRPr="007A72B2">
        <w:rPr>
          <w:rFonts w:ascii="Times New Roman" w:hAnsi="Times New Roman" w:cs="Times New Roman"/>
        </w:rPr>
        <w:t>por el que se regulan los planes de igualdad y su registro</w:t>
      </w:r>
      <w:r w:rsidR="00281C04">
        <w:rPr>
          <w:rStyle w:val="Refdenotaalpie"/>
          <w:rFonts w:ascii="Times New Roman" w:hAnsi="Times New Roman" w:cs="Times New Roman"/>
        </w:rPr>
        <w:footnoteReference w:id="14"/>
      </w:r>
      <w:r w:rsidR="00281C04" w:rsidRPr="007A72B2">
        <w:rPr>
          <w:rFonts w:ascii="Times New Roman" w:hAnsi="Times New Roman" w:cs="Times New Roman"/>
        </w:rPr>
        <w:t xml:space="preserve"> </w:t>
      </w:r>
      <w:r w:rsidR="00281C04">
        <w:rPr>
          <w:rFonts w:ascii="Times New Roman" w:hAnsi="Times New Roman" w:cs="Times New Roman"/>
        </w:rPr>
        <w:t xml:space="preserve">(en adelante, RD 901/2020) </w:t>
      </w:r>
      <w:r w:rsidR="00262537">
        <w:rPr>
          <w:rFonts w:ascii="Times New Roman" w:hAnsi="Times New Roman" w:cs="Times New Roman"/>
        </w:rPr>
        <w:t>determina que el diagnóstico de situación constituye una herramienta sumamente útil para “</w:t>
      </w:r>
      <w:r w:rsidR="00262537" w:rsidRPr="00262537">
        <w:rPr>
          <w:rFonts w:ascii="Times New Roman" w:hAnsi="Times New Roman" w:cs="Times New Roman"/>
        </w:rPr>
        <w:t xml:space="preserve">identificar y a estimar la magnitud, a través de indicadores cuantitativos y cualitativos, de las desigualdades, diferencias, desventajas, </w:t>
      </w:r>
      <w:r w:rsidR="00262537" w:rsidRPr="00262537">
        <w:rPr>
          <w:rFonts w:ascii="Times New Roman" w:hAnsi="Times New Roman" w:cs="Times New Roman"/>
        </w:rPr>
        <w:lastRenderedPageBreak/>
        <w:t>dificultades y obstáculos, existentes o que puedan existir en la empresa para conseguir la igualdad efectiva entre mujeres y hombres</w:t>
      </w:r>
      <w:r w:rsidR="00262537">
        <w:rPr>
          <w:rFonts w:ascii="Times New Roman" w:hAnsi="Times New Roman" w:cs="Times New Roman"/>
        </w:rPr>
        <w:t xml:space="preserve">”. </w:t>
      </w:r>
    </w:p>
    <w:p w14:paraId="7B8371C5" w14:textId="4EB6B438" w:rsidR="00281C04" w:rsidRDefault="00D4712C" w:rsidP="00E21D22">
      <w:pPr>
        <w:jc w:val="both"/>
        <w:rPr>
          <w:rFonts w:ascii="Times New Roman" w:hAnsi="Times New Roman" w:cs="Times New Roman"/>
        </w:rPr>
      </w:pPr>
      <w:r>
        <w:rPr>
          <w:rFonts w:ascii="Times New Roman" w:hAnsi="Times New Roman" w:cs="Times New Roman"/>
        </w:rPr>
        <w:tab/>
      </w:r>
      <w:r w:rsidR="00281C04">
        <w:rPr>
          <w:rFonts w:ascii="Times New Roman" w:hAnsi="Times New Roman" w:cs="Times New Roman"/>
        </w:rPr>
        <w:t>Ya</w:t>
      </w:r>
      <w:r w:rsidR="00771383">
        <w:rPr>
          <w:rFonts w:ascii="Times New Roman" w:hAnsi="Times New Roman" w:cs="Times New Roman"/>
        </w:rPr>
        <w:t xml:space="preserve"> </w:t>
      </w:r>
      <w:r w:rsidR="00D84B98">
        <w:rPr>
          <w:rFonts w:ascii="Times New Roman" w:hAnsi="Times New Roman" w:cs="Times New Roman"/>
        </w:rPr>
        <w:t>el art. 46 de la LOI</w:t>
      </w:r>
      <w:r w:rsidR="007B7CF4">
        <w:rPr>
          <w:rFonts w:ascii="Times New Roman" w:hAnsi="Times New Roman" w:cs="Times New Roman"/>
        </w:rPr>
        <w:t xml:space="preserve"> </w:t>
      </w:r>
      <w:r w:rsidR="00CB7254">
        <w:rPr>
          <w:rFonts w:ascii="Times New Roman" w:hAnsi="Times New Roman" w:cs="Times New Roman"/>
        </w:rPr>
        <w:t>recogía</w:t>
      </w:r>
      <w:r w:rsidR="00281C04">
        <w:rPr>
          <w:rFonts w:ascii="Times New Roman" w:hAnsi="Times New Roman" w:cs="Times New Roman"/>
        </w:rPr>
        <w:t>, desde su versión original,</w:t>
      </w:r>
      <w:r w:rsidR="00D84B98">
        <w:rPr>
          <w:rFonts w:ascii="Times New Roman" w:hAnsi="Times New Roman" w:cs="Times New Roman"/>
        </w:rPr>
        <w:t xml:space="preserve"> entre las materias evaluables que pretenden superar los obstáculos de igualdad efectiva entre mujeres y hombres aspectos como el proceso de selección y contratación, clasificación profesional, promoción profesional, condiciones de trabajo </w:t>
      </w:r>
      <w:r w:rsidR="00D84B98" w:rsidRPr="00D84B98">
        <w:rPr>
          <w:rFonts w:ascii="Times New Roman" w:hAnsi="Times New Roman" w:cs="Times New Roman"/>
        </w:rPr>
        <w:t>incluida la auditoría salarial entre mujeres y hombres</w:t>
      </w:r>
      <w:r w:rsidR="00D84B98">
        <w:rPr>
          <w:rFonts w:ascii="Times New Roman" w:hAnsi="Times New Roman" w:cs="Times New Roman"/>
        </w:rPr>
        <w:t xml:space="preserve">, ejercicio responsable de los derechos de la vida personal, familiar y laboral, infrarrepresentación femenina, retribuciones y prevención del acoso sexual y por razón de género.  </w:t>
      </w:r>
      <w:r w:rsidR="00281C04">
        <w:rPr>
          <w:rFonts w:ascii="Times New Roman" w:hAnsi="Times New Roman" w:cs="Times New Roman"/>
        </w:rPr>
        <w:t>Queda</w:t>
      </w:r>
      <w:r w:rsidR="00D84B98">
        <w:rPr>
          <w:rFonts w:ascii="Times New Roman" w:hAnsi="Times New Roman" w:cs="Times New Roman"/>
        </w:rPr>
        <w:t xml:space="preserve"> patente</w:t>
      </w:r>
      <w:r w:rsidR="00281C04">
        <w:rPr>
          <w:rFonts w:ascii="Times New Roman" w:hAnsi="Times New Roman" w:cs="Times New Roman"/>
        </w:rPr>
        <w:t>, por tanto, la importancia fundamental de que diagnóstico y medidas de igualdad (agrupadas por grandes áreas) estén alineados</w:t>
      </w:r>
      <w:r w:rsidR="00D84B98">
        <w:rPr>
          <w:rFonts w:ascii="Times New Roman" w:hAnsi="Times New Roman" w:cs="Times New Roman"/>
        </w:rPr>
        <w:t xml:space="preserve"> </w:t>
      </w:r>
      <w:r>
        <w:rPr>
          <w:rFonts w:ascii="Times New Roman" w:hAnsi="Times New Roman" w:cs="Times New Roman"/>
        </w:rPr>
        <w:t xml:space="preserve">y </w:t>
      </w:r>
      <w:r w:rsidR="00281C04">
        <w:rPr>
          <w:rFonts w:ascii="Times New Roman" w:hAnsi="Times New Roman" w:cs="Times New Roman"/>
        </w:rPr>
        <w:t xml:space="preserve">respondan las segundas a lo evidenciado por el primero. </w:t>
      </w:r>
    </w:p>
    <w:p w14:paraId="599530BA" w14:textId="11A43802" w:rsidR="00D4712C" w:rsidRDefault="00281C04" w:rsidP="00E21D22">
      <w:pPr>
        <w:ind w:firstLine="360"/>
        <w:jc w:val="both"/>
        <w:rPr>
          <w:rFonts w:ascii="Times New Roman" w:hAnsi="Times New Roman" w:cs="Times New Roman"/>
        </w:rPr>
      </w:pPr>
      <w:r>
        <w:rPr>
          <w:rFonts w:ascii="Times New Roman" w:hAnsi="Times New Roman" w:cs="Times New Roman"/>
        </w:rPr>
        <w:t xml:space="preserve">El interés de la presente comunicación se centra, como se ha anunciado desde las primeras líneas, </w:t>
      </w:r>
      <w:r w:rsidR="008F6E50">
        <w:rPr>
          <w:rFonts w:ascii="Times New Roman" w:hAnsi="Times New Roman" w:cs="Times New Roman"/>
        </w:rPr>
        <w:t xml:space="preserve">en </w:t>
      </w:r>
      <w:r>
        <w:rPr>
          <w:rFonts w:ascii="Times New Roman" w:hAnsi="Times New Roman" w:cs="Times New Roman"/>
        </w:rPr>
        <w:t>las áreas concretas</w:t>
      </w:r>
      <w:r w:rsidR="008F6E50">
        <w:rPr>
          <w:rFonts w:ascii="Times New Roman" w:hAnsi="Times New Roman" w:cs="Times New Roman"/>
        </w:rPr>
        <w:t xml:space="preserve"> </w:t>
      </w:r>
      <w:r>
        <w:rPr>
          <w:rFonts w:ascii="Times New Roman" w:hAnsi="Times New Roman" w:cs="Times New Roman"/>
        </w:rPr>
        <w:t xml:space="preserve">de actuación referidas a </w:t>
      </w:r>
      <w:r w:rsidR="008F6E50">
        <w:rPr>
          <w:rFonts w:ascii="Times New Roman" w:hAnsi="Times New Roman" w:cs="Times New Roman"/>
        </w:rPr>
        <w:t xml:space="preserve">la formación, </w:t>
      </w:r>
      <w:r>
        <w:rPr>
          <w:rFonts w:ascii="Times New Roman" w:hAnsi="Times New Roman" w:cs="Times New Roman"/>
        </w:rPr>
        <w:t xml:space="preserve">la </w:t>
      </w:r>
      <w:r w:rsidR="008F6E50">
        <w:rPr>
          <w:rFonts w:ascii="Times New Roman" w:hAnsi="Times New Roman" w:cs="Times New Roman"/>
        </w:rPr>
        <w:t xml:space="preserve">clasificación y </w:t>
      </w:r>
      <w:r>
        <w:rPr>
          <w:rFonts w:ascii="Times New Roman" w:hAnsi="Times New Roman" w:cs="Times New Roman"/>
        </w:rPr>
        <w:t xml:space="preserve">la </w:t>
      </w:r>
      <w:r w:rsidR="008F6E50">
        <w:rPr>
          <w:rFonts w:ascii="Times New Roman" w:hAnsi="Times New Roman" w:cs="Times New Roman"/>
        </w:rPr>
        <w:t>retribución</w:t>
      </w:r>
      <w:r>
        <w:rPr>
          <w:rFonts w:ascii="Times New Roman" w:hAnsi="Times New Roman" w:cs="Times New Roman"/>
        </w:rPr>
        <w:t>,</w:t>
      </w:r>
      <w:r w:rsidR="008F6E50">
        <w:rPr>
          <w:rFonts w:ascii="Times New Roman" w:hAnsi="Times New Roman" w:cs="Times New Roman"/>
        </w:rPr>
        <w:t xml:space="preserve"> </w:t>
      </w:r>
      <w:r w:rsidR="00D4712C">
        <w:rPr>
          <w:rFonts w:ascii="Times New Roman" w:hAnsi="Times New Roman" w:cs="Times New Roman"/>
        </w:rPr>
        <w:t xml:space="preserve">así </w:t>
      </w:r>
      <w:r w:rsidR="008F6E50">
        <w:rPr>
          <w:rFonts w:ascii="Times New Roman" w:hAnsi="Times New Roman" w:cs="Times New Roman"/>
        </w:rPr>
        <w:t xml:space="preserve">como </w:t>
      </w:r>
      <w:r>
        <w:rPr>
          <w:rFonts w:ascii="Times New Roman" w:hAnsi="Times New Roman" w:cs="Times New Roman"/>
        </w:rPr>
        <w:t xml:space="preserve">a </w:t>
      </w:r>
      <w:r w:rsidR="008F6E50">
        <w:rPr>
          <w:rFonts w:ascii="Times New Roman" w:hAnsi="Times New Roman" w:cs="Times New Roman"/>
        </w:rPr>
        <w:t>la promoción</w:t>
      </w:r>
      <w:r>
        <w:rPr>
          <w:rFonts w:ascii="Times New Roman" w:hAnsi="Times New Roman" w:cs="Times New Roman"/>
        </w:rPr>
        <w:t>. Todo ello</w:t>
      </w:r>
      <w:r w:rsidR="008F6E50">
        <w:rPr>
          <w:rFonts w:ascii="Times New Roman" w:hAnsi="Times New Roman" w:cs="Times New Roman"/>
        </w:rPr>
        <w:t xml:space="preserve"> </w:t>
      </w:r>
      <w:r w:rsidR="00D4712C">
        <w:rPr>
          <w:rFonts w:ascii="Times New Roman" w:hAnsi="Times New Roman" w:cs="Times New Roman"/>
        </w:rPr>
        <w:t xml:space="preserve">en aras </w:t>
      </w:r>
      <w:r>
        <w:rPr>
          <w:rFonts w:ascii="Times New Roman" w:hAnsi="Times New Roman" w:cs="Times New Roman"/>
        </w:rPr>
        <w:t xml:space="preserve">a </w:t>
      </w:r>
      <w:r w:rsidR="00D4712C">
        <w:rPr>
          <w:rFonts w:ascii="Times New Roman" w:hAnsi="Times New Roman" w:cs="Times New Roman"/>
        </w:rPr>
        <w:t>atajar la posible</w:t>
      </w:r>
      <w:r w:rsidR="00771383">
        <w:rPr>
          <w:rFonts w:ascii="Times New Roman" w:hAnsi="Times New Roman" w:cs="Times New Roman"/>
        </w:rPr>
        <w:t xml:space="preserve"> infrarrepresentación femenina</w:t>
      </w:r>
      <w:r w:rsidR="00AC7758">
        <w:rPr>
          <w:rStyle w:val="Refdenotaalpie"/>
          <w:rFonts w:ascii="Times New Roman" w:hAnsi="Times New Roman" w:cs="Times New Roman"/>
        </w:rPr>
        <w:footnoteReference w:id="15"/>
      </w:r>
      <w:r w:rsidR="00771383">
        <w:rPr>
          <w:rFonts w:ascii="Times New Roman" w:hAnsi="Times New Roman" w:cs="Times New Roman"/>
        </w:rPr>
        <w:t xml:space="preserve"> </w:t>
      </w:r>
      <w:r>
        <w:rPr>
          <w:rFonts w:ascii="Times New Roman" w:hAnsi="Times New Roman" w:cs="Times New Roman"/>
        </w:rPr>
        <w:t xml:space="preserve">en determinados grupos profesionales </w:t>
      </w:r>
      <w:r w:rsidR="00D4712C">
        <w:rPr>
          <w:rFonts w:ascii="Times New Roman" w:hAnsi="Times New Roman" w:cs="Times New Roman"/>
        </w:rPr>
        <w:t>como consecuencia de la brecha digital</w:t>
      </w:r>
      <w:r w:rsidR="00D84B98">
        <w:rPr>
          <w:rFonts w:ascii="Times New Roman" w:hAnsi="Times New Roman" w:cs="Times New Roman"/>
        </w:rPr>
        <w:t xml:space="preserve">. </w:t>
      </w:r>
    </w:p>
    <w:p w14:paraId="3DCB1CDB" w14:textId="77777777" w:rsidR="008B110E" w:rsidRDefault="008B110E" w:rsidP="00E21D22">
      <w:pPr>
        <w:ind w:firstLine="360"/>
        <w:jc w:val="both"/>
        <w:rPr>
          <w:rFonts w:ascii="Times New Roman" w:hAnsi="Times New Roman" w:cs="Times New Roman"/>
        </w:rPr>
      </w:pPr>
    </w:p>
    <w:p w14:paraId="49EDE76C" w14:textId="77777777" w:rsidR="008B110E" w:rsidRDefault="00D4712C" w:rsidP="00E21D22">
      <w:pPr>
        <w:pStyle w:val="Prrafodelista"/>
        <w:numPr>
          <w:ilvl w:val="2"/>
          <w:numId w:val="4"/>
        </w:numPr>
        <w:jc w:val="both"/>
        <w:rPr>
          <w:rFonts w:ascii="Times New Roman" w:hAnsi="Times New Roman" w:cs="Times New Roman"/>
        </w:rPr>
      </w:pPr>
      <w:r w:rsidRPr="00A070F3">
        <w:rPr>
          <w:rFonts w:ascii="Times New Roman" w:hAnsi="Times New Roman" w:cs="Times New Roman"/>
        </w:rPr>
        <w:t>Formación</w:t>
      </w:r>
    </w:p>
    <w:p w14:paraId="3AC150DF" w14:textId="79D89137" w:rsidR="00D4712C" w:rsidRDefault="008B110E" w:rsidP="00E21D22">
      <w:pPr>
        <w:ind w:firstLine="708"/>
        <w:jc w:val="both"/>
        <w:rPr>
          <w:rFonts w:ascii="Times New Roman" w:hAnsi="Times New Roman" w:cs="Times New Roman"/>
        </w:rPr>
      </w:pPr>
      <w:r>
        <w:rPr>
          <w:rFonts w:ascii="Times New Roman" w:hAnsi="Times New Roman" w:cs="Times New Roman"/>
        </w:rPr>
        <w:t>D</w:t>
      </w:r>
      <w:r w:rsidR="0059718C" w:rsidRPr="00A070F3">
        <w:rPr>
          <w:rFonts w:ascii="Times New Roman" w:hAnsi="Times New Roman" w:cs="Times New Roman"/>
        </w:rPr>
        <w:t xml:space="preserve">esde el </w:t>
      </w:r>
      <w:r w:rsidR="00281C04" w:rsidRPr="00A070F3">
        <w:rPr>
          <w:rFonts w:ascii="Times New Roman" w:hAnsi="Times New Roman" w:cs="Times New Roman"/>
        </w:rPr>
        <w:t xml:space="preserve">área </w:t>
      </w:r>
      <w:r w:rsidR="0059718C" w:rsidRPr="00A070F3">
        <w:rPr>
          <w:rFonts w:ascii="Times New Roman" w:hAnsi="Times New Roman" w:cs="Times New Roman"/>
        </w:rPr>
        <w:t>de la formación</w:t>
      </w:r>
      <w:r w:rsidR="00281C04" w:rsidRPr="00A070F3">
        <w:rPr>
          <w:rFonts w:ascii="Times New Roman" w:hAnsi="Times New Roman" w:cs="Times New Roman"/>
        </w:rPr>
        <w:t>,</w:t>
      </w:r>
      <w:r w:rsidR="0059718C" w:rsidRPr="00A070F3">
        <w:rPr>
          <w:rFonts w:ascii="Times New Roman" w:hAnsi="Times New Roman" w:cs="Times New Roman"/>
        </w:rPr>
        <w:t xml:space="preserve"> desafortunadamente se ha comprobado </w:t>
      </w:r>
      <w:r w:rsidR="00281C04" w:rsidRPr="00A070F3">
        <w:rPr>
          <w:rFonts w:ascii="Times New Roman" w:hAnsi="Times New Roman" w:cs="Times New Roman"/>
        </w:rPr>
        <w:t xml:space="preserve">como </w:t>
      </w:r>
      <w:r w:rsidR="0059718C" w:rsidRPr="00A070F3">
        <w:rPr>
          <w:rFonts w:ascii="Times New Roman" w:hAnsi="Times New Roman" w:cs="Times New Roman"/>
        </w:rPr>
        <w:t xml:space="preserve">un alto porcentaje de </w:t>
      </w:r>
      <w:r w:rsidR="00591763" w:rsidRPr="00A070F3">
        <w:rPr>
          <w:rFonts w:ascii="Times New Roman" w:hAnsi="Times New Roman" w:cs="Times New Roman"/>
        </w:rPr>
        <w:t xml:space="preserve">PI </w:t>
      </w:r>
      <w:r w:rsidR="007C748B" w:rsidRPr="00A070F3">
        <w:rPr>
          <w:rFonts w:ascii="Times New Roman" w:hAnsi="Times New Roman" w:cs="Times New Roman"/>
        </w:rPr>
        <w:t xml:space="preserve">se están limitando a implementar </w:t>
      </w:r>
      <w:r w:rsidR="00281C04" w:rsidRPr="00A070F3">
        <w:rPr>
          <w:rFonts w:ascii="Times New Roman" w:hAnsi="Times New Roman" w:cs="Times New Roman"/>
        </w:rPr>
        <w:t xml:space="preserve">acciones </w:t>
      </w:r>
      <w:r w:rsidR="007C748B" w:rsidRPr="00A070F3">
        <w:rPr>
          <w:rFonts w:ascii="Times New Roman" w:hAnsi="Times New Roman" w:cs="Times New Roman"/>
        </w:rPr>
        <w:t>forma</w:t>
      </w:r>
      <w:r w:rsidR="00281C04" w:rsidRPr="00A070F3">
        <w:rPr>
          <w:rFonts w:ascii="Times New Roman" w:hAnsi="Times New Roman" w:cs="Times New Roman"/>
        </w:rPr>
        <w:t>tivas centrada (y limitadas) al uso</w:t>
      </w:r>
      <w:r w:rsidR="007C748B" w:rsidRPr="00A070F3">
        <w:rPr>
          <w:rFonts w:ascii="Times New Roman" w:hAnsi="Times New Roman" w:cs="Times New Roman"/>
        </w:rPr>
        <w:t xml:space="preserve"> </w:t>
      </w:r>
      <w:r w:rsidR="00281C04" w:rsidRPr="00A070F3">
        <w:rPr>
          <w:rFonts w:ascii="Times New Roman" w:hAnsi="Times New Roman" w:cs="Times New Roman"/>
        </w:rPr>
        <w:t xml:space="preserve">de </w:t>
      </w:r>
      <w:r w:rsidR="007C748B" w:rsidRPr="00A070F3">
        <w:rPr>
          <w:rFonts w:ascii="Times New Roman" w:hAnsi="Times New Roman" w:cs="Times New Roman"/>
        </w:rPr>
        <w:t>lenguaje no sexista</w:t>
      </w:r>
      <w:r w:rsidR="00281C04" w:rsidRPr="00A070F3">
        <w:rPr>
          <w:rFonts w:ascii="Times New Roman" w:hAnsi="Times New Roman" w:cs="Times New Roman"/>
        </w:rPr>
        <w:t xml:space="preserve"> y/o </w:t>
      </w:r>
      <w:r w:rsidR="007C748B" w:rsidRPr="00A070F3">
        <w:rPr>
          <w:rFonts w:ascii="Times New Roman" w:hAnsi="Times New Roman" w:cs="Times New Roman"/>
        </w:rPr>
        <w:t>sensibilización en materia de igualdad de género</w:t>
      </w:r>
      <w:r w:rsidR="00281C04" w:rsidRPr="00A070F3">
        <w:rPr>
          <w:rFonts w:ascii="Times New Roman" w:hAnsi="Times New Roman" w:cs="Times New Roman"/>
        </w:rPr>
        <w:t xml:space="preserve"> referida a mandos intermedios y dirección, principalmente</w:t>
      </w:r>
      <w:r w:rsidR="00EA6C12">
        <w:rPr>
          <w:rStyle w:val="Refdenotaalpie"/>
          <w:rFonts w:ascii="Times New Roman" w:hAnsi="Times New Roman" w:cs="Times New Roman"/>
        </w:rPr>
        <w:footnoteReference w:id="16"/>
      </w:r>
      <w:r w:rsidR="007C748B" w:rsidRPr="00A070F3">
        <w:rPr>
          <w:rFonts w:ascii="Times New Roman" w:hAnsi="Times New Roman" w:cs="Times New Roman"/>
        </w:rPr>
        <w:t>. Por tales razones</w:t>
      </w:r>
      <w:r w:rsidR="00281C04" w:rsidRPr="00A070F3">
        <w:rPr>
          <w:rFonts w:ascii="Times New Roman" w:hAnsi="Times New Roman" w:cs="Times New Roman"/>
        </w:rPr>
        <w:t>,</w:t>
      </w:r>
      <w:r w:rsidR="007C748B" w:rsidRPr="00A070F3">
        <w:rPr>
          <w:rFonts w:ascii="Times New Roman" w:hAnsi="Times New Roman" w:cs="Times New Roman"/>
        </w:rPr>
        <w:t xml:space="preserve"> y salvo que </w:t>
      </w:r>
      <w:r w:rsidR="00281C04" w:rsidRPr="00A070F3">
        <w:rPr>
          <w:rFonts w:ascii="Times New Roman" w:hAnsi="Times New Roman" w:cs="Times New Roman"/>
        </w:rPr>
        <w:t xml:space="preserve">la explicación se residencie en el hecho de que se esté </w:t>
      </w:r>
      <w:r w:rsidR="00591763" w:rsidRPr="00A070F3">
        <w:rPr>
          <w:rFonts w:ascii="Times New Roman" w:hAnsi="Times New Roman" w:cs="Times New Roman"/>
        </w:rPr>
        <w:t xml:space="preserve">llevando a cabo un plan formativo </w:t>
      </w:r>
      <w:r w:rsidR="00281C04" w:rsidRPr="00A070F3">
        <w:rPr>
          <w:rFonts w:ascii="Times New Roman" w:hAnsi="Times New Roman" w:cs="Times New Roman"/>
        </w:rPr>
        <w:t xml:space="preserve">general de la empresa y al margen de la formación contenida </w:t>
      </w:r>
      <w:r w:rsidR="00591763" w:rsidRPr="00A070F3">
        <w:rPr>
          <w:rFonts w:ascii="Times New Roman" w:hAnsi="Times New Roman" w:cs="Times New Roman"/>
        </w:rPr>
        <w:t xml:space="preserve">en el PI, se estima necesario ampliar el abanico formativo a otras materias específicas o transversales. Precisamente, </w:t>
      </w:r>
      <w:r w:rsidR="00CD095A" w:rsidRPr="00A070F3">
        <w:rPr>
          <w:rFonts w:ascii="Times New Roman" w:hAnsi="Times New Roman" w:cs="Times New Roman"/>
        </w:rPr>
        <w:t xml:space="preserve">bajo el paraguas que la política empresarial de formación -estratégica, específica e inclusivo- </w:t>
      </w:r>
      <w:r w:rsidR="00591763" w:rsidRPr="00A070F3">
        <w:rPr>
          <w:rFonts w:ascii="Times New Roman" w:hAnsi="Times New Roman" w:cs="Times New Roman"/>
        </w:rPr>
        <w:t>podría in</w:t>
      </w:r>
      <w:r w:rsidR="00CD095A" w:rsidRPr="00A070F3">
        <w:rPr>
          <w:rFonts w:ascii="Times New Roman" w:hAnsi="Times New Roman" w:cs="Times New Roman"/>
        </w:rPr>
        <w:t>corporarse</w:t>
      </w:r>
      <w:r w:rsidR="00591763" w:rsidRPr="00A070F3">
        <w:rPr>
          <w:rFonts w:ascii="Times New Roman" w:hAnsi="Times New Roman" w:cs="Times New Roman"/>
        </w:rPr>
        <w:t xml:space="preserve"> formación específica en nuevas tecnologías, competencias digitales básicas y avanzadas que permitan adquirir una formación más completa</w:t>
      </w:r>
      <w:r w:rsidR="00CD095A" w:rsidRPr="00A070F3">
        <w:rPr>
          <w:rFonts w:ascii="Times New Roman" w:hAnsi="Times New Roman" w:cs="Times New Roman"/>
        </w:rPr>
        <w:t>,</w:t>
      </w:r>
      <w:r w:rsidR="00591763" w:rsidRPr="00A070F3">
        <w:rPr>
          <w:rFonts w:ascii="Times New Roman" w:hAnsi="Times New Roman" w:cs="Times New Roman"/>
        </w:rPr>
        <w:t xml:space="preserve"> posibilitando el ascenso</w:t>
      </w:r>
      <w:r w:rsidR="00CD095A" w:rsidRPr="00A070F3">
        <w:rPr>
          <w:rFonts w:ascii="Times New Roman" w:hAnsi="Times New Roman" w:cs="Times New Roman"/>
        </w:rPr>
        <w:t xml:space="preserve"> y/o promoción</w:t>
      </w:r>
      <w:r w:rsidR="00591763" w:rsidRPr="00A070F3">
        <w:rPr>
          <w:rFonts w:ascii="Times New Roman" w:hAnsi="Times New Roman" w:cs="Times New Roman"/>
        </w:rPr>
        <w:t xml:space="preserve"> a puestos </w:t>
      </w:r>
      <w:r w:rsidR="00CD095A" w:rsidRPr="00A070F3">
        <w:rPr>
          <w:rFonts w:ascii="Times New Roman" w:hAnsi="Times New Roman" w:cs="Times New Roman"/>
        </w:rPr>
        <w:t>medios/</w:t>
      </w:r>
      <w:r w:rsidR="00591763" w:rsidRPr="00A070F3">
        <w:rPr>
          <w:rFonts w:ascii="Times New Roman" w:hAnsi="Times New Roman" w:cs="Times New Roman"/>
        </w:rPr>
        <w:t>superiores que requieran</w:t>
      </w:r>
      <w:r w:rsidR="00CD095A" w:rsidRPr="00A070F3">
        <w:rPr>
          <w:rFonts w:ascii="Times New Roman" w:hAnsi="Times New Roman" w:cs="Times New Roman"/>
        </w:rPr>
        <w:t xml:space="preserve"> de</w:t>
      </w:r>
      <w:r w:rsidR="00591763" w:rsidRPr="00A070F3">
        <w:rPr>
          <w:rFonts w:ascii="Times New Roman" w:hAnsi="Times New Roman" w:cs="Times New Roman"/>
        </w:rPr>
        <w:t xml:space="preserve"> estas competencias</w:t>
      </w:r>
      <w:r w:rsidR="00CD095A" w:rsidRPr="00A070F3">
        <w:rPr>
          <w:rFonts w:ascii="Times New Roman" w:hAnsi="Times New Roman" w:cs="Times New Roman"/>
        </w:rPr>
        <w:t>/habilidades</w:t>
      </w:r>
      <w:r w:rsidR="00591763" w:rsidRPr="00A070F3">
        <w:rPr>
          <w:rFonts w:ascii="Times New Roman" w:hAnsi="Times New Roman" w:cs="Times New Roman"/>
        </w:rPr>
        <w:t xml:space="preserve">. De este modo podría </w:t>
      </w:r>
      <w:r w:rsidR="002E0344" w:rsidRPr="00A070F3">
        <w:rPr>
          <w:rFonts w:ascii="Times New Roman" w:hAnsi="Times New Roman" w:cs="Times New Roman"/>
        </w:rPr>
        <w:t>ser un medio fundamental a través del cual la propia empresa dot</w:t>
      </w:r>
      <w:r w:rsidR="00CD095A" w:rsidRPr="00A070F3">
        <w:rPr>
          <w:rFonts w:ascii="Times New Roman" w:hAnsi="Times New Roman" w:cs="Times New Roman"/>
        </w:rPr>
        <w:t>e</w:t>
      </w:r>
      <w:r w:rsidR="002E0344" w:rsidRPr="00A070F3">
        <w:rPr>
          <w:rFonts w:ascii="Times New Roman" w:hAnsi="Times New Roman" w:cs="Times New Roman"/>
        </w:rPr>
        <w:t xml:space="preserve"> a las mujeres </w:t>
      </w:r>
      <w:r w:rsidR="00CD095A" w:rsidRPr="00A070F3">
        <w:rPr>
          <w:rFonts w:ascii="Times New Roman" w:hAnsi="Times New Roman" w:cs="Times New Roman"/>
        </w:rPr>
        <w:t xml:space="preserve">de su plantilla </w:t>
      </w:r>
      <w:r w:rsidR="002E0344" w:rsidRPr="00A070F3">
        <w:rPr>
          <w:rFonts w:ascii="Times New Roman" w:hAnsi="Times New Roman" w:cs="Times New Roman"/>
        </w:rPr>
        <w:t xml:space="preserve">de las herramientas necesarias </w:t>
      </w:r>
      <w:r w:rsidR="00CD095A" w:rsidRPr="00A070F3">
        <w:rPr>
          <w:rFonts w:ascii="Times New Roman" w:hAnsi="Times New Roman" w:cs="Times New Roman"/>
        </w:rPr>
        <w:t xml:space="preserve">para </w:t>
      </w:r>
      <w:r w:rsidR="002E0344" w:rsidRPr="00A070F3">
        <w:rPr>
          <w:rFonts w:ascii="Times New Roman" w:hAnsi="Times New Roman" w:cs="Times New Roman"/>
        </w:rPr>
        <w:t xml:space="preserve">superar este </w:t>
      </w:r>
      <w:r w:rsidR="00CD095A" w:rsidRPr="00A070F3">
        <w:rPr>
          <w:rFonts w:ascii="Times New Roman" w:hAnsi="Times New Roman" w:cs="Times New Roman"/>
        </w:rPr>
        <w:t xml:space="preserve">tipo de </w:t>
      </w:r>
      <w:r w:rsidR="002E0344" w:rsidRPr="00A070F3">
        <w:rPr>
          <w:rFonts w:ascii="Times New Roman" w:hAnsi="Times New Roman" w:cs="Times New Roman"/>
        </w:rPr>
        <w:t>obstáculo</w:t>
      </w:r>
      <w:r w:rsidR="00CD095A" w:rsidRPr="00A070F3">
        <w:rPr>
          <w:rFonts w:ascii="Times New Roman" w:hAnsi="Times New Roman" w:cs="Times New Roman"/>
        </w:rPr>
        <w:t>s</w:t>
      </w:r>
      <w:r w:rsidR="002E0344" w:rsidRPr="00A070F3">
        <w:rPr>
          <w:rFonts w:ascii="Times New Roman" w:hAnsi="Times New Roman" w:cs="Times New Roman"/>
        </w:rPr>
        <w:t xml:space="preserve"> y </w:t>
      </w:r>
      <w:r w:rsidR="00591763" w:rsidRPr="00A070F3">
        <w:rPr>
          <w:rFonts w:ascii="Times New Roman" w:hAnsi="Times New Roman" w:cs="Times New Roman"/>
        </w:rPr>
        <w:t>superar</w:t>
      </w:r>
      <w:r w:rsidR="002E0344" w:rsidRPr="00A070F3">
        <w:rPr>
          <w:rFonts w:ascii="Times New Roman" w:hAnsi="Times New Roman" w:cs="Times New Roman"/>
        </w:rPr>
        <w:t xml:space="preserve"> </w:t>
      </w:r>
      <w:r w:rsidR="00591763" w:rsidRPr="00A070F3">
        <w:rPr>
          <w:rFonts w:ascii="Times New Roman" w:hAnsi="Times New Roman" w:cs="Times New Roman"/>
        </w:rPr>
        <w:t xml:space="preserve">la </w:t>
      </w:r>
      <w:proofErr w:type="spellStart"/>
      <w:r w:rsidR="00591763" w:rsidRPr="00A070F3">
        <w:rPr>
          <w:rFonts w:ascii="Times New Roman" w:hAnsi="Times New Roman" w:cs="Times New Roman"/>
        </w:rPr>
        <w:t>subrepresentación</w:t>
      </w:r>
      <w:proofErr w:type="spellEnd"/>
      <w:r w:rsidR="00591763" w:rsidRPr="00A070F3">
        <w:rPr>
          <w:rFonts w:ascii="Times New Roman" w:hAnsi="Times New Roman" w:cs="Times New Roman"/>
        </w:rPr>
        <w:t xml:space="preserve"> de las mujeres en </w:t>
      </w:r>
      <w:r w:rsidR="002E0344" w:rsidRPr="00A070F3">
        <w:rPr>
          <w:rFonts w:ascii="Times New Roman" w:hAnsi="Times New Roman" w:cs="Times New Roman"/>
        </w:rPr>
        <w:t>categorías profesionales que requieran conocimientos técnico</w:t>
      </w:r>
      <w:r w:rsidR="00CD095A" w:rsidRPr="00A070F3">
        <w:rPr>
          <w:rFonts w:ascii="Times New Roman" w:hAnsi="Times New Roman" w:cs="Times New Roman"/>
        </w:rPr>
        <w:t>-digitales</w:t>
      </w:r>
      <w:r w:rsidR="00C8722F">
        <w:rPr>
          <w:rStyle w:val="Refdenotaalpie"/>
          <w:rFonts w:ascii="Times New Roman" w:hAnsi="Times New Roman" w:cs="Times New Roman"/>
        </w:rPr>
        <w:footnoteReference w:id="17"/>
      </w:r>
      <w:r w:rsidR="002E0344" w:rsidRPr="00A070F3">
        <w:rPr>
          <w:rFonts w:ascii="Times New Roman" w:hAnsi="Times New Roman" w:cs="Times New Roman"/>
        </w:rPr>
        <w:t>.</w:t>
      </w:r>
      <w:r w:rsidR="00CD095A" w:rsidRPr="00A070F3">
        <w:rPr>
          <w:rFonts w:ascii="Times New Roman" w:hAnsi="Times New Roman" w:cs="Times New Roman"/>
        </w:rPr>
        <w:t xml:space="preserve"> Fundamental será, en este sentido, tanto la identificación de las personas que, dentro de la empresa, poseen cualificaciones para promocionar y ocupar puestos en los que estén infrarrepresentados, con el objeto de ofrecer formación, en horario laboral, en las habilidades necesarias para favorecer esa promoción; como la impartición formación específica dentro de un programa de desarrollo de liderazgo dirigido a apoyar mujeres de alto potencial dentro de la empresa y, a su vez, animar a estas mujeres capacitadas a participar en el proceso de promoción interna. Además del imprescindible seguimiento a través de indicadores desagregados por sexos que permita evaluar el éxito o fracaso de tales medidas.</w:t>
      </w:r>
    </w:p>
    <w:p w14:paraId="25EA1C07" w14:textId="357E15C4" w:rsidR="008B110E" w:rsidRDefault="008B110E" w:rsidP="00E21D22">
      <w:pPr>
        <w:ind w:firstLine="708"/>
        <w:jc w:val="both"/>
        <w:rPr>
          <w:rFonts w:ascii="Times New Roman" w:hAnsi="Times New Roman" w:cs="Times New Roman"/>
        </w:rPr>
      </w:pPr>
    </w:p>
    <w:p w14:paraId="4115CA15" w14:textId="7BF66536" w:rsidR="00E21D22" w:rsidRDefault="00E21D22" w:rsidP="00E21D22">
      <w:pPr>
        <w:ind w:firstLine="708"/>
        <w:jc w:val="both"/>
        <w:rPr>
          <w:rFonts w:ascii="Times New Roman" w:hAnsi="Times New Roman" w:cs="Times New Roman"/>
        </w:rPr>
      </w:pPr>
    </w:p>
    <w:p w14:paraId="3695C3CD" w14:textId="77777777" w:rsidR="00E21D22" w:rsidRPr="00A070F3" w:rsidRDefault="00E21D22" w:rsidP="00E21D22">
      <w:pPr>
        <w:ind w:firstLine="708"/>
        <w:jc w:val="both"/>
        <w:rPr>
          <w:rFonts w:ascii="Times New Roman" w:hAnsi="Times New Roman" w:cs="Times New Roman"/>
        </w:rPr>
      </w:pPr>
    </w:p>
    <w:p w14:paraId="4DEB67D9" w14:textId="77777777" w:rsidR="008B110E" w:rsidRDefault="00D4712C" w:rsidP="00E21D22">
      <w:pPr>
        <w:pStyle w:val="Prrafodelista"/>
        <w:numPr>
          <w:ilvl w:val="2"/>
          <w:numId w:val="4"/>
        </w:numPr>
        <w:jc w:val="both"/>
        <w:rPr>
          <w:rFonts w:ascii="Times New Roman" w:hAnsi="Times New Roman" w:cs="Times New Roman"/>
        </w:rPr>
      </w:pPr>
      <w:r w:rsidRPr="00A070F3">
        <w:rPr>
          <w:rFonts w:ascii="Times New Roman" w:hAnsi="Times New Roman" w:cs="Times New Roman"/>
        </w:rPr>
        <w:lastRenderedPageBreak/>
        <w:t>Clasificación y retribución</w:t>
      </w:r>
    </w:p>
    <w:p w14:paraId="070EA895" w14:textId="602837E8" w:rsidR="008B110E" w:rsidRDefault="008B110E" w:rsidP="00E21D22">
      <w:pPr>
        <w:ind w:firstLine="708"/>
        <w:jc w:val="both"/>
        <w:rPr>
          <w:rFonts w:ascii="Times New Roman" w:hAnsi="Times New Roman" w:cs="Times New Roman"/>
        </w:rPr>
      </w:pPr>
      <w:r>
        <w:rPr>
          <w:rFonts w:ascii="Times New Roman" w:hAnsi="Times New Roman" w:cs="Times New Roman"/>
        </w:rPr>
        <w:t>E</w:t>
      </w:r>
      <w:r w:rsidR="00E24738" w:rsidRPr="00A070F3">
        <w:rPr>
          <w:rFonts w:ascii="Times New Roman" w:hAnsi="Times New Roman" w:cs="Times New Roman"/>
        </w:rPr>
        <w:t xml:space="preserve">l tratamiento conjunto de ambos contenidos o materias </w:t>
      </w:r>
      <w:r w:rsidR="007A5FC1" w:rsidRPr="00A070F3">
        <w:rPr>
          <w:rFonts w:ascii="Times New Roman" w:hAnsi="Times New Roman" w:cs="Times New Roman"/>
        </w:rPr>
        <w:t xml:space="preserve">se justifica en </w:t>
      </w:r>
      <w:r w:rsidR="00E24738" w:rsidRPr="00A070F3">
        <w:rPr>
          <w:rFonts w:ascii="Times New Roman" w:hAnsi="Times New Roman" w:cs="Times New Roman"/>
        </w:rPr>
        <w:t>las disfuncionalidades prácticas que la clasificación profesional sigue arrojando pese a los esfuerzos por implantar sistemas de clasificación que, sustentados en una valoración de puestos de trabajo (RRDD 901 y 902/2020), que garantice la implantación de sistemas de clasificación profesional neutros y libres de sesgos de género en las organizaciones empresariales y supere los estereotipos que impregnan nuestro sistema de relaciones laborales y que finalmente, producen discriminaciones directas pero, especialmente, indirectas. Y, en es</w:t>
      </w:r>
      <w:r>
        <w:rPr>
          <w:rFonts w:ascii="Times New Roman" w:hAnsi="Times New Roman" w:cs="Times New Roman"/>
        </w:rPr>
        <w:t>ta línea</w:t>
      </w:r>
      <w:r w:rsidR="007A5FC1" w:rsidRPr="00A070F3">
        <w:rPr>
          <w:rFonts w:ascii="Times New Roman" w:hAnsi="Times New Roman" w:cs="Times New Roman"/>
        </w:rPr>
        <w:t xml:space="preserve">, </w:t>
      </w:r>
      <w:r w:rsidR="00A10CF1" w:rsidRPr="00A070F3">
        <w:rPr>
          <w:rFonts w:ascii="Times New Roman" w:hAnsi="Times New Roman" w:cs="Times New Roman"/>
        </w:rPr>
        <w:t xml:space="preserve">existen buenas prácticas </w:t>
      </w:r>
      <w:r w:rsidR="00E24738" w:rsidRPr="00A070F3">
        <w:rPr>
          <w:rFonts w:ascii="Times New Roman" w:hAnsi="Times New Roman" w:cs="Times New Roman"/>
        </w:rPr>
        <w:t xml:space="preserve">como </w:t>
      </w:r>
      <w:r w:rsidR="00A10CF1" w:rsidRPr="00A070F3">
        <w:rPr>
          <w:rFonts w:ascii="Times New Roman" w:hAnsi="Times New Roman" w:cs="Times New Roman"/>
        </w:rPr>
        <w:t xml:space="preserve">la creación de mapas de puestos </w:t>
      </w:r>
      <w:r w:rsidR="00E24738" w:rsidRPr="00A070F3">
        <w:rPr>
          <w:rFonts w:ascii="Times New Roman" w:hAnsi="Times New Roman" w:cs="Times New Roman"/>
        </w:rPr>
        <w:t xml:space="preserve">de trabajo en empresas concretas </w:t>
      </w:r>
      <w:r w:rsidR="00A10CF1" w:rsidRPr="00A070F3">
        <w:rPr>
          <w:rFonts w:ascii="Times New Roman" w:hAnsi="Times New Roman" w:cs="Times New Roman"/>
        </w:rPr>
        <w:t>que permiten trazar una infografía sobre los puestos de trabajo pero también una ruta profesional con doble alcance: individual y organizacional</w:t>
      </w:r>
      <w:r w:rsidR="001F512E">
        <w:rPr>
          <w:rStyle w:val="Refdenotaalpie"/>
          <w:rFonts w:ascii="Times New Roman" w:hAnsi="Times New Roman" w:cs="Times New Roman"/>
        </w:rPr>
        <w:footnoteReference w:id="18"/>
      </w:r>
      <w:r w:rsidR="00A10CF1" w:rsidRPr="00A070F3">
        <w:rPr>
          <w:rFonts w:ascii="Times New Roman" w:hAnsi="Times New Roman" w:cs="Times New Roman"/>
        </w:rPr>
        <w:t>. En este sentido, identificadas las competencias, capacidades y funciones de cada puesto de trabajo</w:t>
      </w:r>
      <w:r w:rsidR="007A5FC1" w:rsidRPr="00A070F3">
        <w:rPr>
          <w:rFonts w:ascii="Times New Roman" w:hAnsi="Times New Roman" w:cs="Times New Roman"/>
        </w:rPr>
        <w:t xml:space="preserve"> </w:t>
      </w:r>
      <w:r w:rsidR="00A10CF1" w:rsidRPr="00A070F3">
        <w:rPr>
          <w:rFonts w:ascii="Times New Roman" w:hAnsi="Times New Roman" w:cs="Times New Roman"/>
        </w:rPr>
        <w:t xml:space="preserve">es posible planificar las necesidades </w:t>
      </w:r>
      <w:r w:rsidR="00E24738" w:rsidRPr="00A070F3">
        <w:rPr>
          <w:rFonts w:ascii="Times New Roman" w:hAnsi="Times New Roman" w:cs="Times New Roman"/>
        </w:rPr>
        <w:t xml:space="preserve">formativas concretas </w:t>
      </w:r>
      <w:r w:rsidR="00A10CF1" w:rsidRPr="00A070F3">
        <w:rPr>
          <w:rFonts w:ascii="Times New Roman" w:hAnsi="Times New Roman" w:cs="Times New Roman"/>
        </w:rPr>
        <w:t>así como detectar posibles déficits formativos del personal que puedan ser corregidos</w:t>
      </w:r>
      <w:r w:rsidR="00E24738" w:rsidRPr="00A070F3">
        <w:rPr>
          <w:rFonts w:ascii="Times New Roman" w:hAnsi="Times New Roman" w:cs="Times New Roman"/>
        </w:rPr>
        <w:t>/superados</w:t>
      </w:r>
      <w:r w:rsidR="00A10CF1" w:rsidRPr="00A070F3">
        <w:rPr>
          <w:rFonts w:ascii="Times New Roman" w:hAnsi="Times New Roman" w:cs="Times New Roman"/>
        </w:rPr>
        <w:t xml:space="preserve"> de forma </w:t>
      </w:r>
      <w:r w:rsidR="00E24738" w:rsidRPr="00A070F3">
        <w:rPr>
          <w:rFonts w:ascii="Times New Roman" w:hAnsi="Times New Roman" w:cs="Times New Roman"/>
        </w:rPr>
        <w:t>eficiente</w:t>
      </w:r>
      <w:r w:rsidR="00A10CF1" w:rsidRPr="00A070F3">
        <w:rPr>
          <w:rFonts w:ascii="Times New Roman" w:hAnsi="Times New Roman" w:cs="Times New Roman"/>
        </w:rPr>
        <w:t xml:space="preserve">. </w:t>
      </w:r>
    </w:p>
    <w:p w14:paraId="3D72EDE0" w14:textId="79522CB9" w:rsidR="008B110E" w:rsidRPr="00A070F3" w:rsidRDefault="00A10CF1" w:rsidP="00E21D22">
      <w:pPr>
        <w:ind w:firstLine="708"/>
        <w:jc w:val="both"/>
        <w:rPr>
          <w:rFonts w:ascii="Times New Roman" w:hAnsi="Times New Roman" w:cs="Times New Roman"/>
        </w:rPr>
      </w:pPr>
      <w:r w:rsidRPr="00A070F3">
        <w:rPr>
          <w:rFonts w:ascii="Times New Roman" w:hAnsi="Times New Roman" w:cs="Times New Roman"/>
        </w:rPr>
        <w:t>Por otro lado</w:t>
      </w:r>
      <w:r w:rsidR="00E24738" w:rsidRPr="00A070F3">
        <w:rPr>
          <w:rFonts w:ascii="Times New Roman" w:hAnsi="Times New Roman" w:cs="Times New Roman"/>
        </w:rPr>
        <w:t>,</w:t>
      </w:r>
      <w:r w:rsidRPr="00A070F3">
        <w:rPr>
          <w:rFonts w:ascii="Times New Roman" w:hAnsi="Times New Roman" w:cs="Times New Roman"/>
        </w:rPr>
        <w:t xml:space="preserve"> e íntimamente ligada a la clasificación</w:t>
      </w:r>
      <w:r w:rsidR="00E24738" w:rsidRPr="00A070F3">
        <w:rPr>
          <w:rFonts w:ascii="Times New Roman" w:hAnsi="Times New Roman" w:cs="Times New Roman"/>
        </w:rPr>
        <w:t xml:space="preserve"> profesional</w:t>
      </w:r>
      <w:r w:rsidRPr="00A070F3">
        <w:rPr>
          <w:rFonts w:ascii="Times New Roman" w:hAnsi="Times New Roman" w:cs="Times New Roman"/>
        </w:rPr>
        <w:t>, la retribución</w:t>
      </w:r>
      <w:r w:rsidR="00E24738" w:rsidRPr="00A070F3">
        <w:rPr>
          <w:rFonts w:ascii="Times New Roman" w:hAnsi="Times New Roman" w:cs="Times New Roman"/>
        </w:rPr>
        <w:t xml:space="preserve"> </w:t>
      </w:r>
      <w:r w:rsidR="00224065" w:rsidRPr="00A070F3">
        <w:rPr>
          <w:rFonts w:ascii="Times New Roman" w:hAnsi="Times New Roman" w:cs="Times New Roman"/>
        </w:rPr>
        <w:t xml:space="preserve">toma como criterios para determinar </w:t>
      </w:r>
      <w:r w:rsidR="00E24738" w:rsidRPr="00A070F3">
        <w:rPr>
          <w:rFonts w:ascii="Times New Roman" w:hAnsi="Times New Roman" w:cs="Times New Roman"/>
        </w:rPr>
        <w:t xml:space="preserve">su </w:t>
      </w:r>
      <w:r w:rsidR="00224065" w:rsidRPr="00A070F3">
        <w:rPr>
          <w:rFonts w:ascii="Times New Roman" w:hAnsi="Times New Roman" w:cs="Times New Roman"/>
        </w:rPr>
        <w:t>cuantía aspectos como</w:t>
      </w:r>
      <w:r w:rsidR="008801C2" w:rsidRPr="00A070F3">
        <w:rPr>
          <w:rFonts w:ascii="Times New Roman" w:hAnsi="Times New Roman" w:cs="Times New Roman"/>
        </w:rPr>
        <w:t xml:space="preserve"> las competencias y responsabilidades asumidas por las personas trabajadoras y, que en el caso de asociarse a conocimientos digitales</w:t>
      </w:r>
      <w:r w:rsidR="00224065" w:rsidRPr="00A070F3">
        <w:rPr>
          <w:rFonts w:ascii="Times New Roman" w:hAnsi="Times New Roman" w:cs="Times New Roman"/>
        </w:rPr>
        <w:t>,</w:t>
      </w:r>
      <w:r w:rsidR="008801C2" w:rsidRPr="00A070F3">
        <w:rPr>
          <w:rFonts w:ascii="Times New Roman" w:hAnsi="Times New Roman" w:cs="Times New Roman"/>
        </w:rPr>
        <w:t xml:space="preserve"> podría suponer un hándicap para las mujeres mermando sus posibilidades de progreso y poder adquisitivo. De este modo, la política salarial debe obedecer a criterios objetivos</w:t>
      </w:r>
      <w:r w:rsidR="00E24738" w:rsidRPr="00A070F3">
        <w:rPr>
          <w:rFonts w:ascii="Times New Roman" w:hAnsi="Times New Roman" w:cs="Times New Roman"/>
        </w:rPr>
        <w:t xml:space="preserve">/neutros </w:t>
      </w:r>
      <w:r w:rsidR="008801C2" w:rsidRPr="00A070F3">
        <w:rPr>
          <w:rFonts w:ascii="Times New Roman" w:hAnsi="Times New Roman" w:cs="Times New Roman"/>
        </w:rPr>
        <w:t xml:space="preserve">que </w:t>
      </w:r>
      <w:r w:rsidR="00E24738" w:rsidRPr="00A070F3">
        <w:rPr>
          <w:rFonts w:ascii="Times New Roman" w:hAnsi="Times New Roman" w:cs="Times New Roman"/>
        </w:rPr>
        <w:t xml:space="preserve">consigan </w:t>
      </w:r>
      <w:r w:rsidR="008801C2" w:rsidRPr="00A070F3">
        <w:rPr>
          <w:rFonts w:ascii="Times New Roman" w:hAnsi="Times New Roman" w:cs="Times New Roman"/>
        </w:rPr>
        <w:t>desterrar sesgos de género respecto a un puesto que exija las mismas funciones, capacidades y habilidades</w:t>
      </w:r>
      <w:r w:rsidR="00E24738" w:rsidRPr="00A070F3">
        <w:rPr>
          <w:rFonts w:ascii="Times New Roman" w:hAnsi="Times New Roman" w:cs="Times New Roman"/>
        </w:rPr>
        <w:t>,</w:t>
      </w:r>
      <w:r w:rsidR="00670AE5" w:rsidRPr="00A070F3">
        <w:rPr>
          <w:rFonts w:ascii="Times New Roman" w:hAnsi="Times New Roman" w:cs="Times New Roman"/>
        </w:rPr>
        <w:t xml:space="preserve"> sin perjuicio de la existencia de complementos salariales que justifi</w:t>
      </w:r>
      <w:r w:rsidR="00E24738" w:rsidRPr="00A070F3">
        <w:rPr>
          <w:rFonts w:ascii="Times New Roman" w:hAnsi="Times New Roman" w:cs="Times New Roman"/>
        </w:rPr>
        <w:t>qu</w:t>
      </w:r>
      <w:r w:rsidR="00670AE5" w:rsidRPr="00A070F3">
        <w:rPr>
          <w:rFonts w:ascii="Times New Roman" w:hAnsi="Times New Roman" w:cs="Times New Roman"/>
        </w:rPr>
        <w:t>en una diferenciación al respecto</w:t>
      </w:r>
      <w:r w:rsidR="004D5C07">
        <w:rPr>
          <w:rStyle w:val="Refdenotaalpie"/>
          <w:rFonts w:ascii="Times New Roman" w:hAnsi="Times New Roman" w:cs="Times New Roman"/>
        </w:rPr>
        <w:footnoteReference w:id="19"/>
      </w:r>
      <w:r w:rsidR="008801C2" w:rsidRPr="00A070F3">
        <w:rPr>
          <w:rFonts w:ascii="Times New Roman" w:hAnsi="Times New Roman" w:cs="Times New Roman"/>
        </w:rPr>
        <w:t xml:space="preserve">. </w:t>
      </w:r>
    </w:p>
    <w:p w14:paraId="45F6F41B" w14:textId="77777777" w:rsidR="008B110E" w:rsidRPr="008B110E" w:rsidRDefault="008B110E" w:rsidP="00E21D22">
      <w:pPr>
        <w:ind w:firstLine="708"/>
        <w:jc w:val="both"/>
      </w:pPr>
    </w:p>
    <w:p w14:paraId="3556E002" w14:textId="3418664F" w:rsidR="008B110E" w:rsidRPr="00A070F3" w:rsidRDefault="00D4712C" w:rsidP="00E21D22">
      <w:pPr>
        <w:pStyle w:val="Prrafodelista"/>
        <w:numPr>
          <w:ilvl w:val="2"/>
          <w:numId w:val="4"/>
        </w:numPr>
        <w:jc w:val="both"/>
        <w:rPr>
          <w:rFonts w:ascii="Times New Roman" w:hAnsi="Times New Roman" w:cs="Times New Roman"/>
        </w:rPr>
      </w:pPr>
      <w:r w:rsidRPr="00A070F3">
        <w:rPr>
          <w:rFonts w:ascii="Times New Roman" w:hAnsi="Times New Roman" w:cs="Times New Roman"/>
        </w:rPr>
        <w:t>Promoción</w:t>
      </w:r>
      <w:r w:rsidR="008B110E">
        <w:rPr>
          <w:rFonts w:ascii="Times New Roman" w:hAnsi="Times New Roman" w:cs="Times New Roman"/>
        </w:rPr>
        <w:t xml:space="preserve"> y desarrollo profesional</w:t>
      </w:r>
    </w:p>
    <w:p w14:paraId="4EB84C34" w14:textId="11258BD5" w:rsidR="00FB54C6" w:rsidRPr="00A070F3" w:rsidRDefault="008B110E" w:rsidP="00E21D22">
      <w:pPr>
        <w:ind w:firstLine="708"/>
        <w:jc w:val="both"/>
        <w:rPr>
          <w:rFonts w:ascii="Times New Roman" w:hAnsi="Times New Roman" w:cs="Times New Roman"/>
        </w:rPr>
      </w:pPr>
      <w:r>
        <w:rPr>
          <w:rFonts w:ascii="Times New Roman" w:hAnsi="Times New Roman" w:cs="Times New Roman"/>
        </w:rPr>
        <w:t>En íntima conexión con el apartado anterior,</w:t>
      </w:r>
      <w:r w:rsidR="008B4AA2" w:rsidRPr="00A070F3">
        <w:rPr>
          <w:rFonts w:ascii="Times New Roman" w:hAnsi="Times New Roman" w:cs="Times New Roman"/>
        </w:rPr>
        <w:t xml:space="preserve"> se encuentra la promoción profesional a puestos superiore</w:t>
      </w:r>
      <w:r w:rsidR="00E306EB" w:rsidRPr="00A070F3">
        <w:rPr>
          <w:rFonts w:ascii="Times New Roman" w:hAnsi="Times New Roman" w:cs="Times New Roman"/>
        </w:rPr>
        <w:t xml:space="preserve">s que </w:t>
      </w:r>
      <w:r>
        <w:rPr>
          <w:rFonts w:ascii="Times New Roman" w:hAnsi="Times New Roman" w:cs="Times New Roman"/>
        </w:rPr>
        <w:t xml:space="preserve">debidos </w:t>
      </w:r>
      <w:r w:rsidR="00E306EB" w:rsidRPr="00A070F3">
        <w:rPr>
          <w:rFonts w:ascii="Times New Roman" w:hAnsi="Times New Roman" w:cs="Times New Roman"/>
        </w:rPr>
        <w:t>al</w:t>
      </w:r>
      <w:r w:rsidR="008B4AA2" w:rsidRPr="00A070F3">
        <w:rPr>
          <w:rFonts w:ascii="Times New Roman" w:hAnsi="Times New Roman" w:cs="Times New Roman"/>
        </w:rPr>
        <w:t xml:space="preserve"> cambi</w:t>
      </w:r>
      <w:r w:rsidR="00E306EB" w:rsidRPr="00A070F3">
        <w:rPr>
          <w:rFonts w:ascii="Times New Roman" w:hAnsi="Times New Roman" w:cs="Times New Roman"/>
        </w:rPr>
        <w:t>o</w:t>
      </w:r>
      <w:r w:rsidR="008B4AA2" w:rsidRPr="00A070F3">
        <w:rPr>
          <w:rFonts w:ascii="Times New Roman" w:hAnsi="Times New Roman" w:cs="Times New Roman"/>
        </w:rPr>
        <w:t xml:space="preserve"> de </w:t>
      </w:r>
      <w:r>
        <w:rPr>
          <w:rFonts w:ascii="Times New Roman" w:hAnsi="Times New Roman" w:cs="Times New Roman"/>
        </w:rPr>
        <w:t>grupo</w:t>
      </w:r>
      <w:r w:rsidRPr="00A070F3">
        <w:rPr>
          <w:rFonts w:ascii="Times New Roman" w:hAnsi="Times New Roman" w:cs="Times New Roman"/>
        </w:rPr>
        <w:t xml:space="preserve"> </w:t>
      </w:r>
      <w:r w:rsidR="008B4AA2" w:rsidRPr="00A070F3">
        <w:rPr>
          <w:rFonts w:ascii="Times New Roman" w:hAnsi="Times New Roman" w:cs="Times New Roman"/>
        </w:rPr>
        <w:t xml:space="preserve">o </w:t>
      </w:r>
      <w:r>
        <w:rPr>
          <w:rFonts w:ascii="Times New Roman" w:hAnsi="Times New Roman" w:cs="Times New Roman"/>
        </w:rPr>
        <w:t>al</w:t>
      </w:r>
      <w:r w:rsidR="008B4AA2" w:rsidRPr="00A070F3">
        <w:rPr>
          <w:rFonts w:ascii="Times New Roman" w:hAnsi="Times New Roman" w:cs="Times New Roman"/>
        </w:rPr>
        <w:t xml:space="preserve"> incremento salarial sin cambio de</w:t>
      </w:r>
      <w:r>
        <w:rPr>
          <w:rFonts w:ascii="Times New Roman" w:hAnsi="Times New Roman" w:cs="Times New Roman"/>
        </w:rPr>
        <w:t xml:space="preserve"> grupo, supongan la ubicación en un nivel profesional y/o retributivo superior al de partida</w:t>
      </w:r>
      <w:r w:rsidR="008B4AA2" w:rsidRPr="00A070F3">
        <w:rPr>
          <w:rFonts w:ascii="Times New Roman" w:hAnsi="Times New Roman" w:cs="Times New Roman"/>
        </w:rPr>
        <w:t xml:space="preserve">. Sobre este aspecto, se ha valorado positivamente en determinados </w:t>
      </w:r>
      <w:r>
        <w:rPr>
          <w:rFonts w:ascii="Times New Roman" w:hAnsi="Times New Roman" w:cs="Times New Roman"/>
        </w:rPr>
        <w:t>PI</w:t>
      </w:r>
      <w:r w:rsidR="008B4AA2" w:rsidRPr="00A070F3">
        <w:rPr>
          <w:rFonts w:ascii="Times New Roman" w:hAnsi="Times New Roman" w:cs="Times New Roman"/>
        </w:rPr>
        <w:t xml:space="preserve"> que se utilicen </w:t>
      </w:r>
      <w:r>
        <w:rPr>
          <w:rFonts w:ascii="Times New Roman" w:hAnsi="Times New Roman" w:cs="Times New Roman"/>
        </w:rPr>
        <w:t>los</w:t>
      </w:r>
      <w:r w:rsidRPr="00A070F3">
        <w:rPr>
          <w:rFonts w:ascii="Times New Roman" w:hAnsi="Times New Roman" w:cs="Times New Roman"/>
        </w:rPr>
        <w:t xml:space="preserve"> </w:t>
      </w:r>
      <w:r w:rsidR="008B4AA2" w:rsidRPr="00A070F3">
        <w:rPr>
          <w:rFonts w:ascii="Times New Roman" w:hAnsi="Times New Roman" w:cs="Times New Roman"/>
        </w:rPr>
        <w:t xml:space="preserve">criterios </w:t>
      </w:r>
      <w:r>
        <w:rPr>
          <w:rFonts w:ascii="Times New Roman" w:hAnsi="Times New Roman" w:cs="Times New Roman"/>
        </w:rPr>
        <w:t>clásicos de promoción como el de</w:t>
      </w:r>
      <w:r w:rsidR="008B4AA2" w:rsidRPr="00A070F3">
        <w:rPr>
          <w:rFonts w:ascii="Times New Roman" w:hAnsi="Times New Roman" w:cs="Times New Roman"/>
        </w:rPr>
        <w:t xml:space="preserve"> antigüedad</w:t>
      </w:r>
      <w:r>
        <w:rPr>
          <w:rFonts w:ascii="Times New Roman" w:hAnsi="Times New Roman" w:cs="Times New Roman"/>
        </w:rPr>
        <w:t xml:space="preserve"> o libre designación</w:t>
      </w:r>
      <w:r w:rsidR="008B4AA2" w:rsidRPr="00A070F3">
        <w:rPr>
          <w:rFonts w:ascii="Times New Roman" w:hAnsi="Times New Roman" w:cs="Times New Roman"/>
        </w:rPr>
        <w:t xml:space="preserve">, </w:t>
      </w:r>
      <w:r>
        <w:rPr>
          <w:rFonts w:ascii="Times New Roman" w:hAnsi="Times New Roman" w:cs="Times New Roman"/>
        </w:rPr>
        <w:t xml:space="preserve">junto a otros como </w:t>
      </w:r>
      <w:r w:rsidR="008B4AA2" w:rsidRPr="00A070F3">
        <w:rPr>
          <w:rFonts w:ascii="Times New Roman" w:hAnsi="Times New Roman" w:cs="Times New Roman"/>
        </w:rPr>
        <w:t>las pruebas objetivas o concursos de méritos</w:t>
      </w:r>
      <w:r w:rsidR="000B760E">
        <w:rPr>
          <w:rStyle w:val="Refdenotaalpie"/>
          <w:rFonts w:ascii="Times New Roman" w:hAnsi="Times New Roman" w:cs="Times New Roman"/>
        </w:rPr>
        <w:footnoteReference w:id="20"/>
      </w:r>
      <w:r w:rsidR="008B4AA2" w:rsidRPr="00A070F3">
        <w:rPr>
          <w:rFonts w:ascii="Times New Roman" w:hAnsi="Times New Roman" w:cs="Times New Roman"/>
        </w:rPr>
        <w:t>.</w:t>
      </w:r>
      <w:r w:rsidR="003E19BC" w:rsidRPr="00A070F3">
        <w:rPr>
          <w:rFonts w:ascii="Times New Roman" w:hAnsi="Times New Roman" w:cs="Times New Roman"/>
        </w:rPr>
        <w:t xml:space="preserve"> En algunos casos</w:t>
      </w:r>
      <w:r w:rsidR="00E306EB" w:rsidRPr="00A070F3">
        <w:rPr>
          <w:rFonts w:ascii="Times New Roman" w:hAnsi="Times New Roman" w:cs="Times New Roman"/>
        </w:rPr>
        <w:t>, y de forma positiva,</w:t>
      </w:r>
      <w:r w:rsidR="003E19BC" w:rsidRPr="00A070F3">
        <w:rPr>
          <w:rFonts w:ascii="Times New Roman" w:hAnsi="Times New Roman" w:cs="Times New Roman"/>
        </w:rPr>
        <w:t xml:space="preserve"> se ha adoptad</w:t>
      </w:r>
      <w:r w:rsidR="00E306EB" w:rsidRPr="00A070F3">
        <w:rPr>
          <w:rFonts w:ascii="Times New Roman" w:hAnsi="Times New Roman" w:cs="Times New Roman"/>
        </w:rPr>
        <w:t>o</w:t>
      </w:r>
      <w:r w:rsidR="003E19BC" w:rsidRPr="00A070F3">
        <w:rPr>
          <w:rFonts w:ascii="Times New Roman" w:hAnsi="Times New Roman" w:cs="Times New Roman"/>
        </w:rPr>
        <w:t xml:space="preserve"> como objetivo vincular la</w:t>
      </w:r>
      <w:r>
        <w:rPr>
          <w:rFonts w:ascii="Times New Roman" w:hAnsi="Times New Roman" w:cs="Times New Roman"/>
        </w:rPr>
        <w:t xml:space="preserve"> participación y superación en acciones</w:t>
      </w:r>
      <w:r w:rsidR="003E19BC" w:rsidRPr="00A070F3">
        <w:rPr>
          <w:rFonts w:ascii="Times New Roman" w:hAnsi="Times New Roman" w:cs="Times New Roman"/>
        </w:rPr>
        <w:t xml:space="preserve"> formativas con la promoción y desarrollo profesional entre los diferentes puestos de trabajo</w:t>
      </w:r>
      <w:r w:rsidR="0032265D">
        <w:rPr>
          <w:rStyle w:val="Refdenotaalpie"/>
          <w:rFonts w:ascii="Times New Roman" w:hAnsi="Times New Roman" w:cs="Times New Roman"/>
        </w:rPr>
        <w:footnoteReference w:id="21"/>
      </w:r>
      <w:r w:rsidR="003E19BC" w:rsidRPr="00A070F3">
        <w:rPr>
          <w:rFonts w:ascii="Times New Roman" w:hAnsi="Times New Roman" w:cs="Times New Roman"/>
        </w:rPr>
        <w:t xml:space="preserve">. Y, en otros, se </w:t>
      </w:r>
      <w:r>
        <w:rPr>
          <w:rFonts w:ascii="Times New Roman" w:hAnsi="Times New Roman" w:cs="Times New Roman"/>
        </w:rPr>
        <w:t xml:space="preserve">ha </w:t>
      </w:r>
      <w:r w:rsidR="00E306EB" w:rsidRPr="00A070F3">
        <w:rPr>
          <w:rFonts w:ascii="Times New Roman" w:hAnsi="Times New Roman" w:cs="Times New Roman"/>
        </w:rPr>
        <w:t>determinado oportuno</w:t>
      </w:r>
      <w:r w:rsidR="003E19BC" w:rsidRPr="00A070F3">
        <w:rPr>
          <w:rFonts w:ascii="Times New Roman" w:hAnsi="Times New Roman" w:cs="Times New Roman"/>
        </w:rPr>
        <w:t xml:space="preserve"> la creación de un plan de carrera profesional que marque un itinerario temporal para fomentar y garantizar la presencia de mujeres en puestos de responsabilidad</w:t>
      </w:r>
      <w:r w:rsidR="00EA6C12" w:rsidRPr="00A070F3">
        <w:rPr>
          <w:rFonts w:ascii="Times New Roman" w:hAnsi="Times New Roman" w:cs="Times New Roman"/>
        </w:rPr>
        <w:t xml:space="preserve"> </w:t>
      </w:r>
      <w:r>
        <w:rPr>
          <w:rFonts w:ascii="Times New Roman" w:hAnsi="Times New Roman" w:cs="Times New Roman"/>
        </w:rPr>
        <w:t>que</w:t>
      </w:r>
      <w:r w:rsidRPr="00A070F3">
        <w:rPr>
          <w:rFonts w:ascii="Times New Roman" w:hAnsi="Times New Roman" w:cs="Times New Roman"/>
        </w:rPr>
        <w:t xml:space="preserve"> </w:t>
      </w:r>
      <w:r>
        <w:rPr>
          <w:rFonts w:ascii="Times New Roman" w:hAnsi="Times New Roman" w:cs="Times New Roman"/>
        </w:rPr>
        <w:t>ayude a superar</w:t>
      </w:r>
      <w:r w:rsidRPr="00A070F3">
        <w:rPr>
          <w:rFonts w:ascii="Times New Roman" w:hAnsi="Times New Roman" w:cs="Times New Roman"/>
        </w:rPr>
        <w:t xml:space="preserve"> </w:t>
      </w:r>
      <w:r w:rsidR="00EA6C12" w:rsidRPr="00A070F3">
        <w:rPr>
          <w:rFonts w:ascii="Times New Roman" w:hAnsi="Times New Roman" w:cs="Times New Roman"/>
        </w:rPr>
        <w:t>la segregación vertical</w:t>
      </w:r>
      <w:r w:rsidR="004D5C07">
        <w:rPr>
          <w:rStyle w:val="Refdenotaalpie"/>
          <w:rFonts w:ascii="Times New Roman" w:hAnsi="Times New Roman" w:cs="Times New Roman"/>
        </w:rPr>
        <w:footnoteReference w:id="22"/>
      </w:r>
      <w:r>
        <w:rPr>
          <w:rFonts w:ascii="Times New Roman" w:hAnsi="Times New Roman" w:cs="Times New Roman"/>
        </w:rPr>
        <w:t xml:space="preserve"> relacionada con el techo de cristal</w:t>
      </w:r>
      <w:r w:rsidR="00EB5987">
        <w:rPr>
          <w:rStyle w:val="Refdenotaalpie"/>
          <w:rFonts w:ascii="Times New Roman" w:hAnsi="Times New Roman" w:cs="Times New Roman"/>
        </w:rPr>
        <w:footnoteReference w:id="23"/>
      </w:r>
      <w:r w:rsidR="003E19BC" w:rsidRPr="00A070F3">
        <w:rPr>
          <w:rFonts w:ascii="Times New Roman" w:hAnsi="Times New Roman" w:cs="Times New Roman"/>
        </w:rPr>
        <w:t xml:space="preserve">. </w:t>
      </w:r>
    </w:p>
    <w:p w14:paraId="79A85533" w14:textId="1D19305D" w:rsidR="008B110E" w:rsidRDefault="00480848" w:rsidP="00E21D22">
      <w:pPr>
        <w:jc w:val="both"/>
        <w:rPr>
          <w:rFonts w:ascii="Times New Roman" w:hAnsi="Times New Roman" w:cs="Times New Roman"/>
        </w:rPr>
      </w:pPr>
      <w:r>
        <w:rPr>
          <w:rFonts w:ascii="Times New Roman" w:hAnsi="Times New Roman" w:cs="Times New Roman"/>
        </w:rPr>
        <w:tab/>
        <w:t>La importancia de</w:t>
      </w:r>
      <w:r w:rsidR="00F63B0B">
        <w:rPr>
          <w:rFonts w:ascii="Times New Roman" w:hAnsi="Times New Roman" w:cs="Times New Roman"/>
        </w:rPr>
        <w:t>l tratamiento en el PI de</w:t>
      </w:r>
      <w:r>
        <w:rPr>
          <w:rFonts w:ascii="Times New Roman" w:hAnsi="Times New Roman" w:cs="Times New Roman"/>
        </w:rPr>
        <w:t xml:space="preserve"> las </w:t>
      </w:r>
      <w:r w:rsidR="00F63B0B">
        <w:rPr>
          <w:rFonts w:ascii="Times New Roman" w:hAnsi="Times New Roman" w:cs="Times New Roman"/>
        </w:rPr>
        <w:t>materias señaladas</w:t>
      </w:r>
      <w:r>
        <w:rPr>
          <w:rFonts w:ascii="Times New Roman" w:hAnsi="Times New Roman" w:cs="Times New Roman"/>
        </w:rPr>
        <w:t xml:space="preserve"> se justifica</w:t>
      </w:r>
      <w:r w:rsidR="00F63B0B">
        <w:rPr>
          <w:rFonts w:ascii="Times New Roman" w:hAnsi="Times New Roman" w:cs="Times New Roman"/>
        </w:rPr>
        <w:t xml:space="preserve"> en que pueden contribuir positivamente a disminuir la brecha </w:t>
      </w:r>
      <w:r w:rsidR="00495A26">
        <w:rPr>
          <w:rFonts w:ascii="Times New Roman" w:hAnsi="Times New Roman" w:cs="Times New Roman"/>
        </w:rPr>
        <w:t xml:space="preserve">digital </w:t>
      </w:r>
      <w:r w:rsidR="00F63B0B">
        <w:rPr>
          <w:rFonts w:ascii="Times New Roman" w:hAnsi="Times New Roman" w:cs="Times New Roman"/>
        </w:rPr>
        <w:t xml:space="preserve">en las empresas fruto </w:t>
      </w:r>
      <w:r w:rsidR="00F63B0B">
        <w:rPr>
          <w:rFonts w:ascii="Times New Roman" w:hAnsi="Times New Roman" w:cs="Times New Roman"/>
        </w:rPr>
        <w:lastRenderedPageBreak/>
        <w:t>del</w:t>
      </w:r>
      <w:r>
        <w:rPr>
          <w:rFonts w:ascii="Times New Roman" w:hAnsi="Times New Roman" w:cs="Times New Roman"/>
        </w:rPr>
        <w:t xml:space="preserve"> </w:t>
      </w:r>
      <w:r w:rsidR="007E5DB8">
        <w:rPr>
          <w:rFonts w:ascii="Times New Roman" w:hAnsi="Times New Roman" w:cs="Times New Roman"/>
        </w:rPr>
        <w:t xml:space="preserve">desarrollo exponencial </w:t>
      </w:r>
      <w:r>
        <w:rPr>
          <w:rFonts w:ascii="Times New Roman" w:hAnsi="Times New Roman" w:cs="Times New Roman"/>
        </w:rPr>
        <w:t xml:space="preserve">de las nuevas tecnologías </w:t>
      </w:r>
      <w:r w:rsidR="008B110E">
        <w:rPr>
          <w:rFonts w:ascii="Times New Roman" w:hAnsi="Times New Roman" w:cs="Times New Roman"/>
        </w:rPr>
        <w:t>en el contexto de la economía digitalizada que la cuarta revolución industrial ha supuesto.</w:t>
      </w:r>
    </w:p>
    <w:p w14:paraId="47F6C552" w14:textId="39DE3578" w:rsidR="00480848" w:rsidRDefault="00480848" w:rsidP="00E21D22">
      <w:pPr>
        <w:jc w:val="both"/>
        <w:rPr>
          <w:rFonts w:ascii="Times New Roman" w:hAnsi="Times New Roman" w:cs="Times New Roman"/>
        </w:rPr>
      </w:pPr>
      <w:r>
        <w:rPr>
          <w:rFonts w:ascii="Times New Roman" w:hAnsi="Times New Roman" w:cs="Times New Roman"/>
        </w:rPr>
        <w:tab/>
      </w:r>
      <w:r w:rsidR="00EB5987">
        <w:rPr>
          <w:rFonts w:ascii="Times New Roman" w:hAnsi="Times New Roman" w:cs="Times New Roman"/>
        </w:rPr>
        <w:t>Los datos disponibles sobre l</w:t>
      </w:r>
      <w:r>
        <w:rPr>
          <w:rFonts w:ascii="Times New Roman" w:hAnsi="Times New Roman" w:cs="Times New Roman"/>
        </w:rPr>
        <w:t>a incorporación de la mujer en el tejido empresarial desarrollando funciones de especialista TIC son bastante reveladores y evidencian la brecha digital</w:t>
      </w:r>
      <w:r w:rsidR="005469E6">
        <w:rPr>
          <w:rFonts w:ascii="Times New Roman" w:hAnsi="Times New Roman" w:cs="Times New Roman"/>
        </w:rPr>
        <w:t xml:space="preserve">. Así, del total de personal de personal especialista TIC las mujeres ostentan el 23,60%, </w:t>
      </w:r>
      <w:r w:rsidR="00E017F4">
        <w:rPr>
          <w:rFonts w:ascii="Times New Roman" w:hAnsi="Times New Roman" w:cs="Times New Roman"/>
        </w:rPr>
        <w:t xml:space="preserve">un nada significativo 1% </w:t>
      </w:r>
      <w:r w:rsidR="005469E6">
        <w:rPr>
          <w:rFonts w:ascii="Times New Roman" w:hAnsi="Times New Roman" w:cs="Times New Roman"/>
        </w:rPr>
        <w:t>en ciberseguridad</w:t>
      </w:r>
      <w:r w:rsidR="008B3336">
        <w:rPr>
          <w:rFonts w:ascii="Times New Roman" w:hAnsi="Times New Roman" w:cs="Times New Roman"/>
        </w:rPr>
        <w:t xml:space="preserve"> </w:t>
      </w:r>
      <w:r w:rsidR="005469E6">
        <w:rPr>
          <w:rFonts w:ascii="Times New Roman" w:hAnsi="Times New Roman" w:cs="Times New Roman"/>
        </w:rPr>
        <w:t xml:space="preserve">o </w:t>
      </w:r>
      <w:r w:rsidR="00E017F4">
        <w:rPr>
          <w:rFonts w:ascii="Times New Roman" w:hAnsi="Times New Roman" w:cs="Times New Roman"/>
        </w:rPr>
        <w:t xml:space="preserve">un 0.48% en </w:t>
      </w:r>
      <w:r w:rsidR="005469E6">
        <w:rPr>
          <w:rFonts w:ascii="Times New Roman" w:hAnsi="Times New Roman" w:cs="Times New Roman"/>
        </w:rPr>
        <w:t>inteligencia artificial</w:t>
      </w:r>
      <w:r w:rsidR="0059718C">
        <w:rPr>
          <w:rFonts w:ascii="Times New Roman" w:hAnsi="Times New Roman" w:cs="Times New Roman"/>
        </w:rPr>
        <w:t>. As</w:t>
      </w:r>
      <w:r w:rsidR="00E017F4">
        <w:rPr>
          <w:rFonts w:ascii="Times New Roman" w:hAnsi="Times New Roman" w:cs="Times New Roman"/>
        </w:rPr>
        <w:t>i</w:t>
      </w:r>
      <w:r w:rsidR="0059718C">
        <w:rPr>
          <w:rFonts w:ascii="Times New Roman" w:hAnsi="Times New Roman" w:cs="Times New Roman"/>
        </w:rPr>
        <w:t xml:space="preserve">mismo, tampoco se refleja una aportación significativa de las empresas </w:t>
      </w:r>
      <w:r w:rsidR="00E017F4">
        <w:rPr>
          <w:rFonts w:ascii="Times New Roman" w:hAnsi="Times New Roman" w:cs="Times New Roman"/>
        </w:rPr>
        <w:t>en l</w:t>
      </w:r>
      <w:r w:rsidR="00962B35">
        <w:rPr>
          <w:rFonts w:ascii="Times New Roman" w:hAnsi="Times New Roman" w:cs="Times New Roman"/>
        </w:rPr>
        <w:t>o</w:t>
      </w:r>
      <w:r w:rsidR="00E017F4">
        <w:rPr>
          <w:rFonts w:ascii="Times New Roman" w:hAnsi="Times New Roman" w:cs="Times New Roman"/>
        </w:rPr>
        <w:t xml:space="preserve"> que a </w:t>
      </w:r>
      <w:r w:rsidR="0059718C">
        <w:rPr>
          <w:rFonts w:ascii="Times New Roman" w:hAnsi="Times New Roman" w:cs="Times New Roman"/>
        </w:rPr>
        <w:t xml:space="preserve">contrarrestar el déficit formativo en competencias TIC de sus empleados </w:t>
      </w:r>
      <w:r w:rsidR="00E017F4">
        <w:rPr>
          <w:rFonts w:ascii="Times New Roman" w:hAnsi="Times New Roman" w:cs="Times New Roman"/>
        </w:rPr>
        <w:t xml:space="preserve">se refiere </w:t>
      </w:r>
      <w:r w:rsidR="0059718C">
        <w:rPr>
          <w:rFonts w:ascii="Times New Roman" w:hAnsi="Times New Roman" w:cs="Times New Roman"/>
        </w:rPr>
        <w:t>puesto que tan solo el 18,51% llevó a cabo una formación al respecto</w:t>
      </w:r>
      <w:r w:rsidR="004F4211">
        <w:rPr>
          <w:rStyle w:val="Refdenotaalpie"/>
          <w:rFonts w:ascii="Times New Roman" w:hAnsi="Times New Roman" w:cs="Times New Roman"/>
        </w:rPr>
        <w:footnoteReference w:id="24"/>
      </w:r>
      <w:r w:rsidR="0059718C">
        <w:rPr>
          <w:rFonts w:ascii="Times New Roman" w:hAnsi="Times New Roman" w:cs="Times New Roman"/>
        </w:rPr>
        <w:t>.</w:t>
      </w:r>
    </w:p>
    <w:p w14:paraId="50AE633F" w14:textId="7C08139C" w:rsidR="00FB54C6" w:rsidRPr="00FB54C6" w:rsidRDefault="00D97433" w:rsidP="00E21D22">
      <w:pPr>
        <w:jc w:val="both"/>
        <w:rPr>
          <w:rFonts w:ascii="Times New Roman" w:hAnsi="Times New Roman" w:cs="Times New Roman"/>
        </w:rPr>
      </w:pPr>
      <w:r>
        <w:rPr>
          <w:rFonts w:ascii="Times New Roman" w:hAnsi="Times New Roman" w:cs="Times New Roman"/>
        </w:rPr>
        <w:tab/>
      </w:r>
      <w:r w:rsidR="00EB5987">
        <w:rPr>
          <w:rFonts w:ascii="Times New Roman" w:hAnsi="Times New Roman" w:cs="Times New Roman"/>
        </w:rPr>
        <w:t>Para ir concluyendo</w:t>
      </w:r>
      <w:r w:rsidR="00FB54C6">
        <w:rPr>
          <w:rFonts w:ascii="Times New Roman" w:hAnsi="Times New Roman" w:cs="Times New Roman"/>
        </w:rPr>
        <w:t xml:space="preserve">, la Comisión Europea advierte que </w:t>
      </w:r>
      <w:r w:rsidR="005469E6">
        <w:rPr>
          <w:rFonts w:ascii="Times New Roman" w:hAnsi="Times New Roman" w:cs="Times New Roman"/>
        </w:rPr>
        <w:t>s</w:t>
      </w:r>
      <w:r w:rsidR="00FB54C6" w:rsidRPr="002A4888">
        <w:rPr>
          <w:rFonts w:ascii="Times New Roman" w:hAnsi="Times New Roman" w:cs="Times New Roman"/>
        </w:rPr>
        <w:t>i bien la investigación y la innovación son motores clave de la productividad y la competitividad, las economías</w:t>
      </w:r>
      <w:r w:rsidR="00EB5987">
        <w:rPr>
          <w:rFonts w:ascii="Times New Roman" w:hAnsi="Times New Roman" w:cs="Times New Roman"/>
        </w:rPr>
        <w:t xml:space="preserve"> nacionales</w:t>
      </w:r>
      <w:r w:rsidR="00FB54C6" w:rsidRPr="002A4888">
        <w:rPr>
          <w:rFonts w:ascii="Times New Roman" w:hAnsi="Times New Roman" w:cs="Times New Roman"/>
        </w:rPr>
        <w:t xml:space="preserve"> y las empresas </w:t>
      </w:r>
      <w:r w:rsidR="00EB5987">
        <w:rPr>
          <w:rFonts w:ascii="Times New Roman" w:hAnsi="Times New Roman" w:cs="Times New Roman"/>
        </w:rPr>
        <w:t xml:space="preserve">y organizaciones </w:t>
      </w:r>
      <w:r w:rsidR="00FB54C6" w:rsidRPr="002A4888">
        <w:rPr>
          <w:rFonts w:ascii="Times New Roman" w:hAnsi="Times New Roman" w:cs="Times New Roman"/>
        </w:rPr>
        <w:t xml:space="preserve">también </w:t>
      </w:r>
      <w:r w:rsidR="00EB5987">
        <w:rPr>
          <w:rFonts w:ascii="Times New Roman" w:hAnsi="Times New Roman" w:cs="Times New Roman"/>
        </w:rPr>
        <w:t>podrán</w:t>
      </w:r>
      <w:r w:rsidR="00EB5987" w:rsidRPr="002A4888">
        <w:rPr>
          <w:rFonts w:ascii="Times New Roman" w:hAnsi="Times New Roman" w:cs="Times New Roman"/>
        </w:rPr>
        <w:t xml:space="preserve"> </w:t>
      </w:r>
      <w:r w:rsidR="00EB5987">
        <w:rPr>
          <w:rFonts w:ascii="Times New Roman" w:hAnsi="Times New Roman" w:cs="Times New Roman"/>
        </w:rPr>
        <w:t>obtener rédito de la disrupción que todo ello supone si</w:t>
      </w:r>
      <w:r w:rsidR="00EB5987" w:rsidRPr="002A4888">
        <w:rPr>
          <w:rFonts w:ascii="Times New Roman" w:hAnsi="Times New Roman" w:cs="Times New Roman"/>
        </w:rPr>
        <w:t xml:space="preserve"> </w:t>
      </w:r>
      <w:r w:rsidR="00EB5987">
        <w:rPr>
          <w:rFonts w:ascii="Times New Roman" w:hAnsi="Times New Roman" w:cs="Times New Roman"/>
        </w:rPr>
        <w:t>ven las oportunidades que la</w:t>
      </w:r>
      <w:r w:rsidR="00FB54C6" w:rsidRPr="002A4888">
        <w:rPr>
          <w:rFonts w:ascii="Times New Roman" w:hAnsi="Times New Roman" w:cs="Times New Roman"/>
        </w:rPr>
        <w:t xml:space="preserve"> inversión interna en habilidades y capital humano</w:t>
      </w:r>
      <w:r w:rsidR="00EB5987">
        <w:rPr>
          <w:rFonts w:ascii="Times New Roman" w:hAnsi="Times New Roman" w:cs="Times New Roman"/>
        </w:rPr>
        <w:t xml:space="preserve"> exige esta suerte de “reconversión”</w:t>
      </w:r>
      <w:r w:rsidR="00FB54C6" w:rsidRPr="002A4888">
        <w:rPr>
          <w:rFonts w:ascii="Times New Roman" w:hAnsi="Times New Roman" w:cs="Times New Roman"/>
        </w:rPr>
        <w:t xml:space="preserve">. </w:t>
      </w:r>
      <w:r w:rsidR="00EB5987">
        <w:rPr>
          <w:rFonts w:ascii="Times New Roman" w:hAnsi="Times New Roman" w:cs="Times New Roman"/>
        </w:rPr>
        <w:t>En consecuencia</w:t>
      </w:r>
      <w:r>
        <w:rPr>
          <w:rFonts w:ascii="Times New Roman" w:hAnsi="Times New Roman" w:cs="Times New Roman"/>
        </w:rPr>
        <w:t>, l</w:t>
      </w:r>
      <w:r w:rsidR="00FB54C6" w:rsidRPr="002A4888">
        <w:rPr>
          <w:rFonts w:ascii="Times New Roman" w:hAnsi="Times New Roman" w:cs="Times New Roman"/>
        </w:rPr>
        <w:t xml:space="preserve">as empresas </w:t>
      </w:r>
      <w:r w:rsidR="008B110E">
        <w:rPr>
          <w:rFonts w:ascii="Times New Roman" w:hAnsi="Times New Roman" w:cs="Times New Roman"/>
        </w:rPr>
        <w:t xml:space="preserve">tienen la obligación de </w:t>
      </w:r>
      <w:r w:rsidR="00FB54C6" w:rsidRPr="002A4888">
        <w:rPr>
          <w:rFonts w:ascii="Times New Roman" w:hAnsi="Times New Roman" w:cs="Times New Roman"/>
        </w:rPr>
        <w:t xml:space="preserve">desempeñar un papel más </w:t>
      </w:r>
      <w:r w:rsidR="00EB5987">
        <w:rPr>
          <w:rFonts w:ascii="Times New Roman" w:hAnsi="Times New Roman" w:cs="Times New Roman"/>
        </w:rPr>
        <w:t>proactivo y estratégico</w:t>
      </w:r>
      <w:r w:rsidR="00EB5987" w:rsidRPr="002A4888">
        <w:rPr>
          <w:rFonts w:ascii="Times New Roman" w:hAnsi="Times New Roman" w:cs="Times New Roman"/>
        </w:rPr>
        <w:t xml:space="preserve"> </w:t>
      </w:r>
      <w:r w:rsidR="00FB54C6" w:rsidRPr="002A4888">
        <w:rPr>
          <w:rFonts w:ascii="Times New Roman" w:hAnsi="Times New Roman" w:cs="Times New Roman"/>
        </w:rPr>
        <w:t xml:space="preserve">en la </w:t>
      </w:r>
      <w:r w:rsidR="008B110E">
        <w:rPr>
          <w:rFonts w:ascii="Times New Roman" w:hAnsi="Times New Roman" w:cs="Times New Roman"/>
        </w:rPr>
        <w:t>formación</w:t>
      </w:r>
      <w:r w:rsidR="008B110E" w:rsidRPr="002A4888">
        <w:rPr>
          <w:rFonts w:ascii="Times New Roman" w:hAnsi="Times New Roman" w:cs="Times New Roman"/>
        </w:rPr>
        <w:t xml:space="preserve"> </w:t>
      </w:r>
      <w:r w:rsidR="00FB54C6" w:rsidRPr="002A4888">
        <w:rPr>
          <w:rFonts w:ascii="Times New Roman" w:hAnsi="Times New Roman" w:cs="Times New Roman"/>
        </w:rPr>
        <w:t>y capacitación de la fuerza laboral</w:t>
      </w:r>
      <w:r w:rsidR="008B110E">
        <w:rPr>
          <w:rFonts w:ascii="Times New Roman" w:hAnsi="Times New Roman" w:cs="Times New Roman"/>
        </w:rPr>
        <w:t xml:space="preserve">, </w:t>
      </w:r>
      <w:r w:rsidR="00EB5987">
        <w:rPr>
          <w:rFonts w:ascii="Times New Roman" w:hAnsi="Times New Roman" w:cs="Times New Roman"/>
        </w:rPr>
        <w:t xml:space="preserve">que sepa ver más allá de los costes laborales derivados de este proceso </w:t>
      </w:r>
      <w:r>
        <w:rPr>
          <w:rFonts w:ascii="Times New Roman" w:hAnsi="Times New Roman" w:cs="Times New Roman"/>
        </w:rPr>
        <w:t xml:space="preserve">tránsito digital </w:t>
      </w:r>
      <w:r w:rsidR="00E017F4">
        <w:rPr>
          <w:rFonts w:ascii="Times New Roman" w:hAnsi="Times New Roman" w:cs="Times New Roman"/>
        </w:rPr>
        <w:t xml:space="preserve">y que </w:t>
      </w:r>
      <w:r w:rsidR="008B110E">
        <w:rPr>
          <w:rFonts w:ascii="Times New Roman" w:hAnsi="Times New Roman" w:cs="Times New Roman"/>
        </w:rPr>
        <w:t>no deje a nadie atrás, incluidas las mujeres</w:t>
      </w:r>
      <w:r w:rsidR="00A56D51">
        <w:rPr>
          <w:rStyle w:val="Refdenotaalpie"/>
          <w:rFonts w:ascii="Times New Roman" w:hAnsi="Times New Roman" w:cs="Times New Roman"/>
        </w:rPr>
        <w:footnoteReference w:id="25"/>
      </w:r>
      <w:r>
        <w:rPr>
          <w:rFonts w:ascii="Times New Roman" w:hAnsi="Times New Roman" w:cs="Times New Roman"/>
        </w:rPr>
        <w:t>.</w:t>
      </w:r>
    </w:p>
    <w:p w14:paraId="4776B6A1" w14:textId="77777777" w:rsidR="001F512E" w:rsidRPr="00FB54C6" w:rsidRDefault="001F512E" w:rsidP="00E21D22">
      <w:pPr>
        <w:jc w:val="both"/>
        <w:rPr>
          <w:rFonts w:ascii="Times New Roman" w:hAnsi="Times New Roman" w:cs="Times New Roman"/>
        </w:rPr>
      </w:pPr>
    </w:p>
    <w:sectPr w:rsidR="001F512E" w:rsidRPr="00FB54C6" w:rsidSect="00F57A8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9FFA" w14:textId="77777777" w:rsidR="003660CB" w:rsidRDefault="003660CB" w:rsidP="00D1058F">
      <w:r>
        <w:separator/>
      </w:r>
    </w:p>
  </w:endnote>
  <w:endnote w:type="continuationSeparator" w:id="0">
    <w:p w14:paraId="228BD31C" w14:textId="77777777" w:rsidR="003660CB" w:rsidRDefault="003660CB" w:rsidP="00D1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7889" w14:textId="77777777" w:rsidR="003660CB" w:rsidRDefault="003660CB" w:rsidP="00D1058F">
      <w:r>
        <w:separator/>
      </w:r>
    </w:p>
  </w:footnote>
  <w:footnote w:type="continuationSeparator" w:id="0">
    <w:p w14:paraId="615D4C04" w14:textId="77777777" w:rsidR="003660CB" w:rsidRDefault="003660CB" w:rsidP="00D1058F">
      <w:r>
        <w:continuationSeparator/>
      </w:r>
    </w:p>
  </w:footnote>
  <w:footnote w:id="1">
    <w:p w14:paraId="4354715B" w14:textId="0B3E4F75" w:rsidR="009B7694" w:rsidRPr="00813DD9" w:rsidRDefault="009B7694" w:rsidP="00813DD9">
      <w:pPr>
        <w:pStyle w:val="Textonotapie"/>
        <w:jc w:val="both"/>
        <w:rPr>
          <w:rFonts w:ascii="Times New Roman" w:hAnsi="Times New Roman" w:cs="Times New Roman"/>
        </w:rPr>
      </w:pPr>
      <w:r w:rsidRPr="00813DD9">
        <w:rPr>
          <w:rStyle w:val="Refdenotaalpie"/>
          <w:rFonts w:ascii="Times New Roman" w:hAnsi="Times New Roman" w:cs="Times New Roman"/>
        </w:rPr>
        <w:footnoteRef/>
      </w:r>
      <w:r w:rsidRPr="00813DD9">
        <w:rPr>
          <w:rFonts w:ascii="Times New Roman" w:hAnsi="Times New Roman" w:cs="Times New Roman"/>
        </w:rPr>
        <w:t xml:space="preserve"> </w:t>
      </w:r>
      <w:r w:rsidR="00E32C13" w:rsidRPr="00813DD9">
        <w:rPr>
          <w:rFonts w:ascii="Times New Roman" w:hAnsi="Times New Roman" w:cs="Times New Roman"/>
        </w:rPr>
        <w:t xml:space="preserve">ALFONSO MELLADO, C.A. (2020). “Algunas claves para entender la actual configuración jurídica de los planes de igualdad: alcance y contenido”, </w:t>
      </w:r>
      <w:proofErr w:type="spellStart"/>
      <w:r w:rsidR="00E32C13" w:rsidRPr="00136F01">
        <w:rPr>
          <w:rFonts w:ascii="Times New Roman" w:hAnsi="Times New Roman" w:cs="Times New Roman"/>
          <w:i/>
          <w:iCs/>
        </w:rPr>
        <w:t>Femeris</w:t>
      </w:r>
      <w:proofErr w:type="spellEnd"/>
      <w:r w:rsidR="00E32C13" w:rsidRPr="00813DD9">
        <w:rPr>
          <w:rFonts w:ascii="Times New Roman" w:hAnsi="Times New Roman" w:cs="Times New Roman"/>
        </w:rPr>
        <w:t xml:space="preserve">, vol. 5, nº 2, p. 35. </w:t>
      </w:r>
    </w:p>
  </w:footnote>
  <w:footnote w:id="2">
    <w:p w14:paraId="272CAB62" w14:textId="5F9290C9" w:rsidR="00813DD9" w:rsidRPr="00813DD9" w:rsidRDefault="00813DD9" w:rsidP="00813DD9">
      <w:pPr>
        <w:pStyle w:val="Textonotapie"/>
        <w:jc w:val="both"/>
        <w:rPr>
          <w:rFonts w:ascii="Times New Roman" w:hAnsi="Times New Roman" w:cs="Times New Roman"/>
        </w:rPr>
      </w:pPr>
      <w:r w:rsidRPr="00813DD9">
        <w:rPr>
          <w:rStyle w:val="Refdenotaalpie"/>
          <w:rFonts w:ascii="Times New Roman" w:hAnsi="Times New Roman" w:cs="Times New Roman"/>
        </w:rPr>
        <w:footnoteRef/>
      </w:r>
      <w:r w:rsidRPr="00813DD9">
        <w:rPr>
          <w:rFonts w:ascii="Times New Roman" w:hAnsi="Times New Roman" w:cs="Times New Roman"/>
        </w:rPr>
        <w:t xml:space="preserve"> CASAS BAAMONDE, M.E. (2019). “La organización del tiempo de trabajo con perspectiva de género: la conciliación de la vida privada y la vida laboral”, </w:t>
      </w:r>
      <w:r w:rsidRPr="00813DD9">
        <w:rPr>
          <w:rFonts w:ascii="Times New Roman" w:hAnsi="Times New Roman" w:cs="Times New Roman"/>
          <w:i/>
          <w:iCs/>
        </w:rPr>
        <w:t>Revista documentación laboral</w:t>
      </w:r>
      <w:r w:rsidRPr="00813DD9">
        <w:rPr>
          <w:rFonts w:ascii="Times New Roman" w:hAnsi="Times New Roman" w:cs="Times New Roman"/>
        </w:rPr>
        <w:t xml:space="preserve">, vol. II, nº 117, p. 21. </w:t>
      </w:r>
    </w:p>
  </w:footnote>
  <w:footnote w:id="3">
    <w:p w14:paraId="3044BB90" w14:textId="04035A4C" w:rsidR="00DF270B" w:rsidRPr="002E4EDB" w:rsidRDefault="00DF270B" w:rsidP="002E4EDB">
      <w:pPr>
        <w:pStyle w:val="Textonotapie"/>
        <w:jc w:val="both"/>
        <w:rPr>
          <w:rFonts w:ascii="Times New Roman" w:hAnsi="Times New Roman" w:cs="Times New Roman"/>
        </w:rPr>
      </w:pPr>
      <w:r w:rsidRPr="002E4EDB">
        <w:rPr>
          <w:rStyle w:val="Refdenotaalpie"/>
          <w:rFonts w:ascii="Times New Roman" w:hAnsi="Times New Roman" w:cs="Times New Roman"/>
        </w:rPr>
        <w:footnoteRef/>
      </w:r>
      <w:r w:rsidRPr="002E4EDB">
        <w:rPr>
          <w:rFonts w:ascii="Times New Roman" w:hAnsi="Times New Roman" w:cs="Times New Roman"/>
        </w:rPr>
        <w:t xml:space="preserve"> MOLINA NAVARRETE, C. (2017). Derecho y trabajo en la era digital: </w:t>
      </w:r>
      <w:proofErr w:type="gramStart"/>
      <w:r w:rsidR="00813DD9" w:rsidRPr="002E4EDB">
        <w:rPr>
          <w:rFonts w:ascii="Times New Roman" w:hAnsi="Times New Roman" w:cs="Times New Roman"/>
        </w:rPr>
        <w:t>¿</w:t>
      </w:r>
      <w:r w:rsidR="00813DD9">
        <w:rPr>
          <w:rFonts w:ascii="Times New Roman" w:hAnsi="Times New Roman" w:cs="Times New Roman"/>
        </w:rPr>
        <w:t>”</w:t>
      </w:r>
      <w:r w:rsidR="00813DD9" w:rsidRPr="002E4EDB">
        <w:rPr>
          <w:rFonts w:ascii="Times New Roman" w:hAnsi="Times New Roman" w:cs="Times New Roman"/>
        </w:rPr>
        <w:t>revolución</w:t>
      </w:r>
      <w:proofErr w:type="gramEnd"/>
      <w:r w:rsidRPr="002E4EDB">
        <w:rPr>
          <w:rFonts w:ascii="Times New Roman" w:hAnsi="Times New Roman" w:cs="Times New Roman"/>
        </w:rPr>
        <w:t xml:space="preserve"> industrial 4.0” o “economía sumergida 3.0”, en AA.VV. </w:t>
      </w:r>
      <w:r w:rsidRPr="002E4EDB">
        <w:rPr>
          <w:rFonts w:ascii="Times New Roman" w:hAnsi="Times New Roman" w:cs="Times New Roman"/>
          <w:i/>
          <w:iCs/>
        </w:rPr>
        <w:t>El futuro del trabajo que queremos</w:t>
      </w:r>
      <w:r w:rsidRPr="002E4EDB">
        <w:rPr>
          <w:rFonts w:ascii="Times New Roman" w:hAnsi="Times New Roman" w:cs="Times New Roman"/>
        </w:rPr>
        <w:t xml:space="preserve">, Conferencia Nacional Tripartita, Ministerio de Empleo y Seguridad Social, vol. II, p. 403. </w:t>
      </w:r>
    </w:p>
  </w:footnote>
  <w:footnote w:id="4">
    <w:p w14:paraId="606968ED" w14:textId="53D9E6AA" w:rsidR="005044B3" w:rsidRPr="002E4EDB" w:rsidRDefault="005044B3" w:rsidP="002E4EDB">
      <w:pPr>
        <w:pStyle w:val="Textonotapie"/>
        <w:jc w:val="both"/>
        <w:rPr>
          <w:rFonts w:ascii="Times New Roman" w:hAnsi="Times New Roman" w:cs="Times New Roman"/>
        </w:rPr>
      </w:pPr>
      <w:r w:rsidRPr="002E4EDB">
        <w:rPr>
          <w:rStyle w:val="Refdenotaalpie"/>
          <w:rFonts w:ascii="Times New Roman" w:hAnsi="Times New Roman" w:cs="Times New Roman"/>
        </w:rPr>
        <w:footnoteRef/>
      </w:r>
      <w:r w:rsidRPr="002E4EDB">
        <w:rPr>
          <w:rFonts w:ascii="Times New Roman" w:hAnsi="Times New Roman" w:cs="Times New Roman"/>
        </w:rPr>
        <w:t xml:space="preserve"> MORENO GENÉ, J. (2021). “El auge de las nuevas tecnologías en el trabajo tras la COVID-19 y su impacto de género”, </w:t>
      </w:r>
      <w:r w:rsidR="002E4EDB" w:rsidRPr="002E4EDB">
        <w:rPr>
          <w:rFonts w:ascii="Times New Roman" w:hAnsi="Times New Roman" w:cs="Times New Roman"/>
          <w:i/>
          <w:iCs/>
        </w:rPr>
        <w:t xml:space="preserve">3º Congreso Internacional Virtual ‘La gestión del futuro. Cambios y propuestas para la sociedad de la </w:t>
      </w:r>
      <w:proofErr w:type="spellStart"/>
      <w:r w:rsidR="002E4EDB" w:rsidRPr="002E4EDB">
        <w:rPr>
          <w:rFonts w:ascii="Times New Roman" w:hAnsi="Times New Roman" w:cs="Times New Roman"/>
          <w:i/>
          <w:iCs/>
        </w:rPr>
        <w:t>postpandemia</w:t>
      </w:r>
      <w:proofErr w:type="spellEnd"/>
      <w:r w:rsidR="002E4EDB" w:rsidRPr="002E4EDB">
        <w:rPr>
          <w:rFonts w:ascii="Times New Roman" w:hAnsi="Times New Roman" w:cs="Times New Roman"/>
          <w:i/>
          <w:iCs/>
        </w:rPr>
        <w:t>”</w:t>
      </w:r>
      <w:r w:rsidR="002E4EDB">
        <w:rPr>
          <w:rFonts w:ascii="Times New Roman" w:hAnsi="Times New Roman" w:cs="Times New Roman"/>
        </w:rPr>
        <w:t xml:space="preserve">, </w:t>
      </w:r>
      <w:r w:rsidRPr="002E4EDB">
        <w:rPr>
          <w:rFonts w:ascii="Times New Roman" w:hAnsi="Times New Roman" w:cs="Times New Roman"/>
        </w:rPr>
        <w:t xml:space="preserve">p. 54. </w:t>
      </w:r>
    </w:p>
  </w:footnote>
  <w:footnote w:id="5">
    <w:p w14:paraId="253823BF" w14:textId="0362962B" w:rsidR="003257A2" w:rsidRPr="00CE101E" w:rsidRDefault="003257A2" w:rsidP="00CE101E">
      <w:pPr>
        <w:pStyle w:val="Textonotapie"/>
        <w:jc w:val="both"/>
        <w:rPr>
          <w:rFonts w:ascii="Times New Roman" w:hAnsi="Times New Roman" w:cs="Times New Roman"/>
        </w:rPr>
      </w:pPr>
      <w:r w:rsidRPr="00CE101E">
        <w:rPr>
          <w:rStyle w:val="Refdenotaalpie"/>
          <w:rFonts w:ascii="Times New Roman" w:hAnsi="Times New Roman" w:cs="Times New Roman"/>
        </w:rPr>
        <w:footnoteRef/>
      </w:r>
      <w:r w:rsidRPr="00CE101E">
        <w:rPr>
          <w:rFonts w:ascii="Times New Roman" w:hAnsi="Times New Roman" w:cs="Times New Roman"/>
        </w:rPr>
        <w:t xml:space="preserve"> </w:t>
      </w:r>
      <w:r w:rsidR="00E017F4">
        <w:rPr>
          <w:rFonts w:ascii="Times New Roman" w:hAnsi="Times New Roman" w:cs="Times New Roman"/>
        </w:rPr>
        <w:t xml:space="preserve">Más detalles en </w:t>
      </w:r>
      <w:r w:rsidRPr="00CE101E">
        <w:rPr>
          <w:rFonts w:ascii="Times New Roman" w:hAnsi="Times New Roman" w:cs="Times New Roman"/>
        </w:rPr>
        <w:t xml:space="preserve">ARENAS REMIRO, M. (2011). “Brecha digital de género: la mujer y las nuevas tecnologías”, </w:t>
      </w:r>
      <w:r w:rsidRPr="00CE101E">
        <w:rPr>
          <w:rFonts w:ascii="Times New Roman" w:hAnsi="Times New Roman" w:cs="Times New Roman"/>
          <w:i/>
          <w:iCs/>
        </w:rPr>
        <w:t xml:space="preserve">Anuario de </w:t>
      </w:r>
      <w:r w:rsidR="00CE101E" w:rsidRPr="00CE101E">
        <w:rPr>
          <w:rFonts w:ascii="Times New Roman" w:hAnsi="Times New Roman" w:cs="Times New Roman"/>
          <w:i/>
          <w:iCs/>
        </w:rPr>
        <w:t>la facultad de Derecho</w:t>
      </w:r>
      <w:r w:rsidR="00CE101E" w:rsidRPr="00CE101E">
        <w:rPr>
          <w:rFonts w:ascii="Times New Roman" w:hAnsi="Times New Roman" w:cs="Times New Roman"/>
        </w:rPr>
        <w:t xml:space="preserve">, nº 4, p. 107. </w:t>
      </w:r>
    </w:p>
  </w:footnote>
  <w:footnote w:id="6">
    <w:p w14:paraId="66C2BC51" w14:textId="1F1B353B" w:rsidR="009C5620" w:rsidRPr="00FA2E90" w:rsidRDefault="009C5620" w:rsidP="00FA2E90">
      <w:pPr>
        <w:pStyle w:val="Textonotapie"/>
        <w:jc w:val="both"/>
        <w:rPr>
          <w:rFonts w:ascii="Times New Roman" w:hAnsi="Times New Roman" w:cs="Times New Roman"/>
        </w:rPr>
      </w:pPr>
      <w:r w:rsidRPr="00FA2E90">
        <w:rPr>
          <w:rStyle w:val="Refdenotaalpie"/>
          <w:rFonts w:ascii="Times New Roman" w:hAnsi="Times New Roman" w:cs="Times New Roman"/>
          <w:color w:val="000000" w:themeColor="text1"/>
        </w:rPr>
        <w:footnoteRef/>
      </w:r>
      <w:r w:rsidRPr="00FA2E90">
        <w:rPr>
          <w:rFonts w:ascii="Times New Roman" w:hAnsi="Times New Roman" w:cs="Times New Roman"/>
          <w:color w:val="000000" w:themeColor="text1"/>
        </w:rPr>
        <w:t xml:space="preserve"> Encuesta Ocupados por ramas de actividad, por tipo de ocupación, por situación profesional y por tipo de puesto laboral. Recuperado en </w:t>
      </w:r>
      <w:hyperlink r:id="rId1" w:history="1">
        <w:r w:rsidRPr="00FA2E90">
          <w:rPr>
            <w:rStyle w:val="Hipervnculo"/>
            <w:rFonts w:ascii="Times New Roman" w:hAnsi="Times New Roman" w:cs="Times New Roman"/>
            <w:color w:val="000000" w:themeColor="text1"/>
            <w:u w:val="none"/>
          </w:rPr>
          <w:t>https://www.ine.es/ss/Satellite?L=es_ES&amp;c=INESeccion_C&amp;cid=1259931459725&amp;p=1254735110672&amp;pagename=ProductosYServicios%2FPYSLayout</w:t>
        </w:r>
      </w:hyperlink>
      <w:r w:rsidRPr="00FA2E90">
        <w:rPr>
          <w:rFonts w:ascii="Times New Roman" w:hAnsi="Times New Roman" w:cs="Times New Roman"/>
          <w:color w:val="000000" w:themeColor="text1"/>
        </w:rPr>
        <w:t xml:space="preserve"> </w:t>
      </w:r>
    </w:p>
  </w:footnote>
  <w:footnote w:id="7">
    <w:p w14:paraId="64A2ABCB" w14:textId="186A3673" w:rsidR="00FA2E90" w:rsidRPr="00FA2E90" w:rsidRDefault="00FA2E90" w:rsidP="00FA2E90">
      <w:pPr>
        <w:pStyle w:val="Textonotapie"/>
        <w:jc w:val="both"/>
        <w:rPr>
          <w:rFonts w:ascii="Times New Roman" w:hAnsi="Times New Roman" w:cs="Times New Roman"/>
        </w:rPr>
      </w:pPr>
      <w:r w:rsidRPr="00FA2E90">
        <w:rPr>
          <w:rStyle w:val="Refdenotaalpie"/>
          <w:rFonts w:ascii="Times New Roman" w:hAnsi="Times New Roman" w:cs="Times New Roman"/>
        </w:rPr>
        <w:footnoteRef/>
      </w:r>
      <w:r w:rsidRPr="00FA2E90">
        <w:rPr>
          <w:rFonts w:ascii="Times New Roman" w:hAnsi="Times New Roman" w:cs="Times New Roman"/>
        </w:rPr>
        <w:t xml:space="preserve"> Índice de la Economía y la Sociedad Digitales (DESI) 2021.</w:t>
      </w:r>
    </w:p>
  </w:footnote>
  <w:footnote w:id="8">
    <w:p w14:paraId="592B000A" w14:textId="25E848A4" w:rsidR="007D21F4" w:rsidRPr="00EC35D6" w:rsidRDefault="007D21F4" w:rsidP="00EC35D6">
      <w:pPr>
        <w:pStyle w:val="Textonotapie"/>
        <w:jc w:val="both"/>
        <w:rPr>
          <w:rFonts w:ascii="Times New Roman" w:hAnsi="Times New Roman" w:cs="Times New Roman"/>
        </w:rPr>
      </w:pPr>
      <w:r w:rsidRPr="00EC35D6">
        <w:rPr>
          <w:rStyle w:val="Refdenotaalpie"/>
          <w:rFonts w:ascii="Times New Roman" w:hAnsi="Times New Roman" w:cs="Times New Roman"/>
        </w:rPr>
        <w:footnoteRef/>
      </w:r>
      <w:r w:rsidRPr="00EC35D6">
        <w:rPr>
          <w:rFonts w:ascii="Times New Roman" w:hAnsi="Times New Roman" w:cs="Times New Roman"/>
        </w:rPr>
        <w:t xml:space="preserve"> DE LA PUEBLA PINILLA, A. (2020). “El trabajo de las mujeres en la era digital”, </w:t>
      </w:r>
      <w:r w:rsidRPr="00EC35D6">
        <w:rPr>
          <w:rFonts w:ascii="Times New Roman" w:hAnsi="Times New Roman" w:cs="Times New Roman"/>
          <w:i/>
          <w:iCs/>
        </w:rPr>
        <w:t>Revista Trabajo y derecho</w:t>
      </w:r>
      <w:r w:rsidRPr="00EC35D6">
        <w:rPr>
          <w:rFonts w:ascii="Times New Roman" w:hAnsi="Times New Roman" w:cs="Times New Roman"/>
        </w:rPr>
        <w:t>, nº 58, p. 2</w:t>
      </w:r>
      <w:r w:rsidR="00EC35D6" w:rsidRPr="00EC35D6">
        <w:rPr>
          <w:rFonts w:ascii="Times New Roman" w:hAnsi="Times New Roman" w:cs="Times New Roman"/>
        </w:rPr>
        <w:t>1.</w:t>
      </w:r>
    </w:p>
  </w:footnote>
  <w:footnote w:id="9">
    <w:p w14:paraId="78AC0F02" w14:textId="5A3CA900" w:rsidR="00EC35D6" w:rsidRPr="003257A2" w:rsidRDefault="00EC35D6" w:rsidP="003257A2">
      <w:pPr>
        <w:pStyle w:val="Textonotapie"/>
        <w:jc w:val="both"/>
        <w:rPr>
          <w:rFonts w:ascii="Times New Roman" w:hAnsi="Times New Roman" w:cs="Times New Roman"/>
        </w:rPr>
      </w:pPr>
      <w:r w:rsidRPr="003257A2">
        <w:rPr>
          <w:rStyle w:val="Refdenotaalpie"/>
          <w:rFonts w:ascii="Times New Roman" w:hAnsi="Times New Roman" w:cs="Times New Roman"/>
        </w:rPr>
        <w:footnoteRef/>
      </w:r>
      <w:r w:rsidRPr="003257A2">
        <w:rPr>
          <w:rFonts w:ascii="Times New Roman" w:hAnsi="Times New Roman" w:cs="Times New Roman"/>
        </w:rPr>
        <w:t xml:space="preserve"> </w:t>
      </w:r>
      <w:r w:rsidR="00E017F4">
        <w:rPr>
          <w:rFonts w:ascii="Times New Roman" w:hAnsi="Times New Roman" w:cs="Times New Roman"/>
        </w:rPr>
        <w:t xml:space="preserve">Más detalles en </w:t>
      </w:r>
      <w:r w:rsidR="003257A2" w:rsidRPr="003257A2">
        <w:rPr>
          <w:rFonts w:ascii="Times New Roman" w:hAnsi="Times New Roman" w:cs="Times New Roman"/>
        </w:rPr>
        <w:t xml:space="preserve">OLARTE ENCABO, S. (2017). “Brecha digital, pobreza y exclusión social”, </w:t>
      </w:r>
      <w:r w:rsidR="003257A2" w:rsidRPr="003257A2">
        <w:rPr>
          <w:rFonts w:ascii="Times New Roman" w:hAnsi="Times New Roman" w:cs="Times New Roman"/>
          <w:i/>
          <w:iCs/>
        </w:rPr>
        <w:t>Revista Temas Laborales</w:t>
      </w:r>
      <w:r w:rsidR="003257A2" w:rsidRPr="003257A2">
        <w:rPr>
          <w:rFonts w:ascii="Times New Roman" w:hAnsi="Times New Roman" w:cs="Times New Roman"/>
        </w:rPr>
        <w:t xml:space="preserve">, nº 138, p. 290. </w:t>
      </w:r>
    </w:p>
  </w:footnote>
  <w:footnote w:id="10">
    <w:p w14:paraId="7801E4C4" w14:textId="7B71B3D3" w:rsidR="00262A27" w:rsidRPr="00262A27" w:rsidRDefault="00262A27" w:rsidP="00262A27">
      <w:pPr>
        <w:pStyle w:val="Textonotapie"/>
        <w:jc w:val="both"/>
        <w:rPr>
          <w:rFonts w:ascii="Times New Roman" w:hAnsi="Times New Roman" w:cs="Times New Roman"/>
        </w:rPr>
      </w:pPr>
      <w:r w:rsidRPr="00262A27">
        <w:rPr>
          <w:rStyle w:val="Refdenotaalpie"/>
          <w:rFonts w:ascii="Times New Roman" w:hAnsi="Times New Roman" w:cs="Times New Roman"/>
        </w:rPr>
        <w:footnoteRef/>
      </w:r>
      <w:r w:rsidRPr="00262A27">
        <w:rPr>
          <w:rFonts w:ascii="Times New Roman" w:hAnsi="Times New Roman" w:cs="Times New Roman"/>
        </w:rPr>
        <w:t xml:space="preserve"> Otra propuesta en este sentido en MELLA MÉNDEZ, L. (2020). “Mujer trabajadora y empleo tecnológico: medidas de actuación urgente contra la brecha digital de género (1)”, </w:t>
      </w:r>
      <w:r w:rsidRPr="00262A27">
        <w:rPr>
          <w:rFonts w:ascii="Times New Roman" w:hAnsi="Times New Roman" w:cs="Times New Roman"/>
          <w:i/>
          <w:iCs/>
        </w:rPr>
        <w:t>Revista Trabajo y Derecho</w:t>
      </w:r>
      <w:r w:rsidRPr="00262A27">
        <w:rPr>
          <w:rFonts w:ascii="Times New Roman" w:hAnsi="Times New Roman" w:cs="Times New Roman"/>
        </w:rPr>
        <w:t>, nº 66.</w:t>
      </w:r>
    </w:p>
  </w:footnote>
  <w:footnote w:id="11">
    <w:p w14:paraId="19639BC8" w14:textId="4A70383F" w:rsidR="009C5620" w:rsidRPr="004F4211" w:rsidRDefault="009C5620" w:rsidP="004F4211">
      <w:pPr>
        <w:pStyle w:val="Textonotapie"/>
        <w:jc w:val="both"/>
        <w:rPr>
          <w:rFonts w:ascii="Times New Roman" w:hAnsi="Times New Roman" w:cs="Times New Roman"/>
        </w:rPr>
      </w:pPr>
      <w:r w:rsidRPr="004F4211">
        <w:rPr>
          <w:rStyle w:val="Refdenotaalpie"/>
          <w:rFonts w:ascii="Times New Roman" w:hAnsi="Times New Roman" w:cs="Times New Roman"/>
        </w:rPr>
        <w:footnoteRef/>
      </w:r>
      <w:r w:rsidRPr="004F4211">
        <w:rPr>
          <w:rFonts w:ascii="Times New Roman" w:hAnsi="Times New Roman" w:cs="Times New Roman"/>
        </w:rPr>
        <w:t xml:space="preserve"> </w:t>
      </w:r>
      <w:r w:rsidR="00FA2E90" w:rsidRPr="004F4211">
        <w:rPr>
          <w:rFonts w:ascii="Times New Roman" w:hAnsi="Times New Roman" w:cs="Times New Roman"/>
        </w:rPr>
        <w:t>Recuperado de https://portal.mineco.gob.es/ca-es/ministerio/estrategias/Pagines/00_Espana_Digital_2025.aspx</w:t>
      </w:r>
    </w:p>
  </w:footnote>
  <w:footnote w:id="12">
    <w:p w14:paraId="4542AD54" w14:textId="0AD8B00F" w:rsidR="00FA2E90" w:rsidRDefault="00FA2E90" w:rsidP="004F4211">
      <w:pPr>
        <w:pStyle w:val="Textonotapie"/>
        <w:jc w:val="both"/>
      </w:pPr>
      <w:r w:rsidRPr="004F4211">
        <w:rPr>
          <w:rStyle w:val="Refdenotaalpie"/>
          <w:rFonts w:ascii="Times New Roman" w:hAnsi="Times New Roman" w:cs="Times New Roman"/>
        </w:rPr>
        <w:footnoteRef/>
      </w:r>
      <w:r w:rsidRPr="004F4211">
        <w:rPr>
          <w:rFonts w:ascii="Times New Roman" w:hAnsi="Times New Roman" w:cs="Times New Roman"/>
        </w:rPr>
        <w:t xml:space="preserve"> Recuperado de </w:t>
      </w:r>
      <w:r w:rsidR="004F4211" w:rsidRPr="004F4211">
        <w:rPr>
          <w:rFonts w:ascii="Times New Roman" w:hAnsi="Times New Roman" w:cs="Times New Roman"/>
        </w:rPr>
        <w:t>https://portal.mineco.gob.es/RecursosArticulo/mineco/ministerio/ficheros/210127_plan_nacional_de_competencias_digitales.pdf</w:t>
      </w:r>
    </w:p>
  </w:footnote>
  <w:footnote w:id="13">
    <w:p w14:paraId="493FA833" w14:textId="3FEA0069" w:rsidR="009C5620" w:rsidRDefault="009C5620" w:rsidP="009C5620">
      <w:pPr>
        <w:pStyle w:val="Textonotapie"/>
        <w:jc w:val="both"/>
      </w:pPr>
      <w:r w:rsidRPr="009C5620">
        <w:rPr>
          <w:rStyle w:val="Refdenotaalpie"/>
          <w:rFonts w:ascii="Times New Roman" w:hAnsi="Times New Roman" w:cs="Times New Roman"/>
        </w:rPr>
        <w:footnoteRef/>
      </w:r>
      <w:r w:rsidRPr="009C5620">
        <w:rPr>
          <w:rFonts w:ascii="Times New Roman" w:hAnsi="Times New Roman" w:cs="Times New Roman"/>
        </w:rPr>
        <w:t xml:space="preserve"> </w:t>
      </w:r>
      <w:r w:rsidR="00EB5987" w:rsidRPr="00EB5987">
        <w:rPr>
          <w:rFonts w:ascii="Times New Roman" w:hAnsi="Times New Roman" w:cs="Times New Roman"/>
        </w:rPr>
        <w:t>https://planderecuperacion.gob.es/</w:t>
      </w:r>
      <w:r w:rsidR="00EB5987" w:rsidRPr="00EB5987" w:rsidDel="00EB5987">
        <w:rPr>
          <w:rFonts w:ascii="Times New Roman" w:hAnsi="Times New Roman" w:cs="Times New Roman"/>
        </w:rPr>
        <w:t xml:space="preserve"> </w:t>
      </w:r>
    </w:p>
  </w:footnote>
  <w:footnote w:id="14">
    <w:p w14:paraId="0A191C82" w14:textId="77777777" w:rsidR="00281C04" w:rsidRPr="007A72B2" w:rsidRDefault="00281C04" w:rsidP="00281C04">
      <w:pPr>
        <w:pStyle w:val="Textonotapie"/>
        <w:jc w:val="both"/>
        <w:rPr>
          <w:rFonts w:ascii="Times New Roman" w:hAnsi="Times New Roman" w:cs="Times New Roman"/>
        </w:rPr>
      </w:pPr>
      <w:r w:rsidRPr="007A72B2">
        <w:rPr>
          <w:rStyle w:val="Refdenotaalpie"/>
          <w:rFonts w:ascii="Times New Roman" w:hAnsi="Times New Roman" w:cs="Times New Roman"/>
        </w:rPr>
        <w:footnoteRef/>
      </w:r>
      <w:r w:rsidRPr="007A72B2">
        <w:rPr>
          <w:rFonts w:ascii="Times New Roman" w:hAnsi="Times New Roman" w:cs="Times New Roman"/>
        </w:rPr>
        <w:t xml:space="preserve"> Real Decreto 901/2020, de 13 de octubre, por el que se regulan los planes de igualdad y su registro y se modifica el Real Decreto 713/2010, de 28 de mayo, sobre registro y depósito de convenios y acuerdos colectivos de trabajo.</w:t>
      </w:r>
    </w:p>
  </w:footnote>
  <w:footnote w:id="15">
    <w:p w14:paraId="0B94747D" w14:textId="793C23BC" w:rsidR="00AC7758" w:rsidRPr="00A56D51" w:rsidRDefault="00AC7758" w:rsidP="00AC7758">
      <w:pPr>
        <w:pStyle w:val="Textonotapie"/>
        <w:jc w:val="both"/>
        <w:rPr>
          <w:rFonts w:ascii="Times New Roman" w:hAnsi="Times New Roman" w:cs="Times New Roman"/>
        </w:rPr>
      </w:pPr>
      <w:r w:rsidRPr="00A56D51">
        <w:rPr>
          <w:rStyle w:val="Refdenotaalpie"/>
          <w:rFonts w:ascii="Times New Roman" w:hAnsi="Times New Roman" w:cs="Times New Roman"/>
        </w:rPr>
        <w:footnoteRef/>
      </w:r>
      <w:r w:rsidRPr="00A56D51">
        <w:rPr>
          <w:rFonts w:ascii="Times New Roman" w:hAnsi="Times New Roman" w:cs="Times New Roman"/>
        </w:rPr>
        <w:t xml:space="preserve"> </w:t>
      </w:r>
      <w:r w:rsidR="00E017F4">
        <w:rPr>
          <w:rFonts w:ascii="Times New Roman" w:hAnsi="Times New Roman" w:cs="Times New Roman"/>
        </w:rPr>
        <w:t>Más detalles e</w:t>
      </w:r>
      <w:r w:rsidRPr="00A56D51">
        <w:rPr>
          <w:rFonts w:ascii="Times New Roman" w:hAnsi="Times New Roman" w:cs="Times New Roman"/>
        </w:rPr>
        <w:t xml:space="preserve"> SIERRA HERNÁIZ, E. (2020). “Perspectivas del concepto de infrarrepresentación femenina en los planes de igualdad”, </w:t>
      </w:r>
      <w:r w:rsidRPr="00A56D51">
        <w:rPr>
          <w:rFonts w:ascii="Times New Roman" w:hAnsi="Times New Roman" w:cs="Times New Roman"/>
          <w:i/>
          <w:iCs/>
        </w:rPr>
        <w:t>Revista Trabajo y Derecho</w:t>
      </w:r>
      <w:r w:rsidRPr="00A56D51">
        <w:rPr>
          <w:rFonts w:ascii="Times New Roman" w:hAnsi="Times New Roman" w:cs="Times New Roman"/>
        </w:rPr>
        <w:t xml:space="preserve">, nº 65, p. 5. </w:t>
      </w:r>
    </w:p>
  </w:footnote>
  <w:footnote w:id="16">
    <w:p w14:paraId="65001FC2" w14:textId="17A623A8" w:rsidR="00EA6C12" w:rsidRPr="001F512E" w:rsidRDefault="00EA6C12"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Plan de Igualdad Centro Tecnológico Grupo Copo, S.L. </w:t>
      </w:r>
      <w:r w:rsidR="00BB4635" w:rsidRPr="001F512E">
        <w:rPr>
          <w:rFonts w:ascii="Times New Roman" w:hAnsi="Times New Roman" w:cs="Times New Roman"/>
        </w:rPr>
        <w:t xml:space="preserve">Plan de Igualdad AGQ </w:t>
      </w:r>
      <w:proofErr w:type="spellStart"/>
      <w:r w:rsidR="00BB4635" w:rsidRPr="001F512E">
        <w:rPr>
          <w:rFonts w:ascii="Times New Roman" w:hAnsi="Times New Roman" w:cs="Times New Roman"/>
        </w:rPr>
        <w:t>Labs</w:t>
      </w:r>
      <w:proofErr w:type="spellEnd"/>
      <w:r w:rsidR="00BB4635" w:rsidRPr="001F512E">
        <w:rPr>
          <w:rFonts w:ascii="Times New Roman" w:hAnsi="Times New Roman" w:cs="Times New Roman"/>
        </w:rPr>
        <w:t xml:space="preserve"> &amp; </w:t>
      </w:r>
      <w:proofErr w:type="spellStart"/>
      <w:r w:rsidR="00BB4635" w:rsidRPr="001F512E">
        <w:rPr>
          <w:rFonts w:ascii="Times New Roman" w:hAnsi="Times New Roman" w:cs="Times New Roman"/>
        </w:rPr>
        <w:t>Technological</w:t>
      </w:r>
      <w:proofErr w:type="spellEnd"/>
      <w:r w:rsidR="00BB4635" w:rsidRPr="001F512E">
        <w:rPr>
          <w:rFonts w:ascii="Times New Roman" w:hAnsi="Times New Roman" w:cs="Times New Roman"/>
        </w:rPr>
        <w:t xml:space="preserve"> </w:t>
      </w:r>
      <w:proofErr w:type="spellStart"/>
      <w:r w:rsidR="00BB4635" w:rsidRPr="001F512E">
        <w:rPr>
          <w:rFonts w:ascii="Times New Roman" w:hAnsi="Times New Roman" w:cs="Times New Roman"/>
        </w:rPr>
        <w:t>services</w:t>
      </w:r>
      <w:proofErr w:type="spellEnd"/>
      <w:r w:rsidR="00BB4635" w:rsidRPr="001F512E">
        <w:rPr>
          <w:rFonts w:ascii="Times New Roman" w:hAnsi="Times New Roman" w:cs="Times New Roman"/>
        </w:rPr>
        <w:t xml:space="preserve">. </w:t>
      </w:r>
      <w:r w:rsidR="0032265D" w:rsidRPr="001F512E">
        <w:rPr>
          <w:rFonts w:ascii="Times New Roman" w:hAnsi="Times New Roman" w:cs="Times New Roman"/>
        </w:rPr>
        <w:t>Plan de Igualdad Grupo Rolen.</w:t>
      </w:r>
    </w:p>
  </w:footnote>
  <w:footnote w:id="17">
    <w:p w14:paraId="4DE98B34" w14:textId="4FD20781" w:rsidR="00C8722F" w:rsidRPr="001F512E" w:rsidRDefault="00C8722F"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w:t>
      </w:r>
      <w:r w:rsidR="002372A5" w:rsidRPr="001F512E">
        <w:rPr>
          <w:rFonts w:ascii="Times New Roman" w:hAnsi="Times New Roman" w:cs="Times New Roman"/>
        </w:rPr>
        <w:t xml:space="preserve">Plan de Igualdad </w:t>
      </w:r>
      <w:proofErr w:type="spellStart"/>
      <w:r w:rsidR="002372A5" w:rsidRPr="001F512E">
        <w:rPr>
          <w:rFonts w:ascii="Times New Roman" w:hAnsi="Times New Roman" w:cs="Times New Roman"/>
        </w:rPr>
        <w:t>Fora</w:t>
      </w:r>
      <w:proofErr w:type="spellEnd"/>
      <w:r w:rsidR="002372A5" w:rsidRPr="001F512E">
        <w:rPr>
          <w:rFonts w:ascii="Times New Roman" w:hAnsi="Times New Roman" w:cs="Times New Roman"/>
        </w:rPr>
        <w:t xml:space="preserve"> </w:t>
      </w:r>
      <w:proofErr w:type="spellStart"/>
      <w:r w:rsidR="002372A5" w:rsidRPr="001F512E">
        <w:rPr>
          <w:rFonts w:ascii="Times New Roman" w:hAnsi="Times New Roman" w:cs="Times New Roman"/>
        </w:rPr>
        <w:t>forest</w:t>
      </w:r>
      <w:proofErr w:type="spellEnd"/>
      <w:r w:rsidR="002372A5" w:rsidRPr="001F512E">
        <w:rPr>
          <w:rFonts w:ascii="Times New Roman" w:hAnsi="Times New Roman" w:cs="Times New Roman"/>
        </w:rPr>
        <w:t xml:space="preserve"> </w:t>
      </w:r>
      <w:proofErr w:type="spellStart"/>
      <w:r w:rsidR="002372A5" w:rsidRPr="001F512E">
        <w:rPr>
          <w:rFonts w:ascii="Times New Roman" w:hAnsi="Times New Roman" w:cs="Times New Roman"/>
        </w:rPr>
        <w:t>technologies</w:t>
      </w:r>
      <w:proofErr w:type="spellEnd"/>
      <w:r w:rsidR="002372A5" w:rsidRPr="001F512E">
        <w:rPr>
          <w:rFonts w:ascii="Times New Roman" w:hAnsi="Times New Roman" w:cs="Times New Roman"/>
        </w:rPr>
        <w:t>, S.L.L.</w:t>
      </w:r>
    </w:p>
  </w:footnote>
  <w:footnote w:id="18">
    <w:p w14:paraId="054DDDC9" w14:textId="50AE752C" w:rsidR="001F512E" w:rsidRPr="001F512E" w:rsidRDefault="001F512E"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Plan de Igualdad </w:t>
      </w:r>
      <w:proofErr w:type="spellStart"/>
      <w:r w:rsidRPr="001F512E">
        <w:rPr>
          <w:rFonts w:ascii="Times New Roman" w:hAnsi="Times New Roman" w:cs="Times New Roman"/>
        </w:rPr>
        <w:t>Cade</w:t>
      </w:r>
      <w:proofErr w:type="spellEnd"/>
      <w:r w:rsidRPr="001F512E">
        <w:rPr>
          <w:rFonts w:ascii="Times New Roman" w:hAnsi="Times New Roman" w:cs="Times New Roman"/>
        </w:rPr>
        <w:t xml:space="preserve"> Soluciones de Ingeniería, S.L.</w:t>
      </w:r>
    </w:p>
  </w:footnote>
  <w:footnote w:id="19">
    <w:p w14:paraId="6A801774" w14:textId="0C0B242F" w:rsidR="004D5C07" w:rsidRPr="001F512E" w:rsidRDefault="004D5C07"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Plan de Igualdad Laboratorios León </w:t>
      </w:r>
      <w:proofErr w:type="spellStart"/>
      <w:r w:rsidRPr="001F512E">
        <w:rPr>
          <w:rFonts w:ascii="Times New Roman" w:hAnsi="Times New Roman" w:cs="Times New Roman"/>
        </w:rPr>
        <w:t>Farma</w:t>
      </w:r>
      <w:proofErr w:type="spellEnd"/>
      <w:r w:rsidRPr="001F512E">
        <w:rPr>
          <w:rFonts w:ascii="Times New Roman" w:hAnsi="Times New Roman" w:cs="Times New Roman"/>
        </w:rPr>
        <w:t xml:space="preserve"> S.A. Plan de Igualdad RCI Bank and </w:t>
      </w:r>
      <w:proofErr w:type="spellStart"/>
      <w:r w:rsidRPr="001F512E">
        <w:rPr>
          <w:rFonts w:ascii="Times New Roman" w:hAnsi="Times New Roman" w:cs="Times New Roman"/>
        </w:rPr>
        <w:t>Services</w:t>
      </w:r>
      <w:proofErr w:type="spellEnd"/>
      <w:r w:rsidRPr="001F512E">
        <w:rPr>
          <w:rFonts w:ascii="Times New Roman" w:hAnsi="Times New Roman" w:cs="Times New Roman"/>
        </w:rPr>
        <w:t xml:space="preserve"> España. </w:t>
      </w:r>
      <w:r w:rsidR="00BB4635" w:rsidRPr="001F512E">
        <w:rPr>
          <w:rFonts w:ascii="Times New Roman" w:hAnsi="Times New Roman" w:cs="Times New Roman"/>
        </w:rPr>
        <w:t xml:space="preserve">Plan de Igualdad </w:t>
      </w:r>
      <w:proofErr w:type="spellStart"/>
      <w:r w:rsidR="00BB4635" w:rsidRPr="001F512E">
        <w:rPr>
          <w:rFonts w:ascii="Times New Roman" w:hAnsi="Times New Roman" w:cs="Times New Roman"/>
        </w:rPr>
        <w:t>Piher</w:t>
      </w:r>
      <w:proofErr w:type="spellEnd"/>
      <w:r w:rsidR="00BB4635" w:rsidRPr="001F512E">
        <w:rPr>
          <w:rFonts w:ascii="Times New Roman" w:hAnsi="Times New Roman" w:cs="Times New Roman"/>
        </w:rPr>
        <w:t xml:space="preserve"> </w:t>
      </w:r>
      <w:proofErr w:type="spellStart"/>
      <w:r w:rsidR="00BB4635" w:rsidRPr="001F512E">
        <w:rPr>
          <w:rFonts w:ascii="Times New Roman" w:hAnsi="Times New Roman" w:cs="Times New Roman"/>
        </w:rPr>
        <w:t>Sensors</w:t>
      </w:r>
      <w:proofErr w:type="spellEnd"/>
      <w:r w:rsidR="00BB4635" w:rsidRPr="001F512E">
        <w:rPr>
          <w:rFonts w:ascii="Times New Roman" w:hAnsi="Times New Roman" w:cs="Times New Roman"/>
        </w:rPr>
        <w:t xml:space="preserve"> &amp; </w:t>
      </w:r>
      <w:proofErr w:type="spellStart"/>
      <w:r w:rsidR="00BB4635" w:rsidRPr="001F512E">
        <w:rPr>
          <w:rFonts w:ascii="Times New Roman" w:hAnsi="Times New Roman" w:cs="Times New Roman"/>
        </w:rPr>
        <w:t>Controls</w:t>
      </w:r>
      <w:proofErr w:type="spellEnd"/>
      <w:r w:rsidR="00BB4635" w:rsidRPr="001F512E">
        <w:rPr>
          <w:rFonts w:ascii="Times New Roman" w:hAnsi="Times New Roman" w:cs="Times New Roman"/>
        </w:rPr>
        <w:t xml:space="preserve">, S.A. </w:t>
      </w:r>
    </w:p>
  </w:footnote>
  <w:footnote w:id="20">
    <w:p w14:paraId="332583B8" w14:textId="587C5E0B" w:rsidR="000B760E" w:rsidRPr="001F512E" w:rsidRDefault="000B760E"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Plan de Igualdad </w:t>
      </w:r>
      <w:proofErr w:type="spellStart"/>
      <w:r w:rsidRPr="001F512E">
        <w:rPr>
          <w:rFonts w:ascii="Times New Roman" w:hAnsi="Times New Roman" w:cs="Times New Roman"/>
        </w:rPr>
        <w:t>Irontec</w:t>
      </w:r>
      <w:proofErr w:type="spellEnd"/>
      <w:r w:rsidRPr="001F512E">
        <w:rPr>
          <w:rFonts w:ascii="Times New Roman" w:hAnsi="Times New Roman" w:cs="Times New Roman"/>
        </w:rPr>
        <w:t xml:space="preserve">. </w:t>
      </w:r>
      <w:r w:rsidR="001F512E" w:rsidRPr="001F512E">
        <w:rPr>
          <w:rFonts w:ascii="Times New Roman" w:hAnsi="Times New Roman" w:cs="Times New Roman"/>
        </w:rPr>
        <w:t xml:space="preserve">Plan de Igualdad Lorca Telecom </w:t>
      </w:r>
      <w:proofErr w:type="spellStart"/>
      <w:r w:rsidR="001F512E" w:rsidRPr="001F512E">
        <w:rPr>
          <w:rFonts w:ascii="Times New Roman" w:hAnsi="Times New Roman" w:cs="Times New Roman"/>
        </w:rPr>
        <w:t>Bidco</w:t>
      </w:r>
      <w:proofErr w:type="spellEnd"/>
      <w:r w:rsidR="001F512E" w:rsidRPr="001F512E">
        <w:rPr>
          <w:rFonts w:ascii="Times New Roman" w:hAnsi="Times New Roman" w:cs="Times New Roman"/>
        </w:rPr>
        <w:t xml:space="preserve">, S.A. </w:t>
      </w:r>
    </w:p>
  </w:footnote>
  <w:footnote w:id="21">
    <w:p w14:paraId="6C6B5368" w14:textId="6433A161" w:rsidR="0032265D" w:rsidRPr="001F512E" w:rsidRDefault="0032265D"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Plan de Igualdad Boston </w:t>
      </w:r>
      <w:proofErr w:type="spellStart"/>
      <w:r w:rsidRPr="001F512E">
        <w:rPr>
          <w:rFonts w:ascii="Times New Roman" w:hAnsi="Times New Roman" w:cs="Times New Roman"/>
        </w:rPr>
        <w:t>Scientific</w:t>
      </w:r>
      <w:proofErr w:type="spellEnd"/>
      <w:r w:rsidRPr="001F512E">
        <w:rPr>
          <w:rFonts w:ascii="Times New Roman" w:hAnsi="Times New Roman" w:cs="Times New Roman"/>
        </w:rPr>
        <w:t xml:space="preserve"> Ibérica S.A.U. </w:t>
      </w:r>
      <w:r w:rsidR="000B760E" w:rsidRPr="001F512E">
        <w:rPr>
          <w:rFonts w:ascii="Times New Roman" w:hAnsi="Times New Roman" w:cs="Times New Roman"/>
        </w:rPr>
        <w:t>Plan de Igualdad de la Escuela Superior de Estudios Técnicos de Canarias – ESETEC.</w:t>
      </w:r>
      <w:r w:rsidR="002372A5" w:rsidRPr="001F512E">
        <w:rPr>
          <w:rFonts w:ascii="Times New Roman" w:hAnsi="Times New Roman" w:cs="Times New Roman"/>
        </w:rPr>
        <w:t xml:space="preserve"> Plan de Igualdad de Telefónica Servicios Audiovisuales, S.A. </w:t>
      </w:r>
    </w:p>
  </w:footnote>
  <w:footnote w:id="22">
    <w:p w14:paraId="6C160F2C" w14:textId="4B79713A" w:rsidR="004D5C07" w:rsidRPr="001F512E" w:rsidRDefault="004D5C07" w:rsidP="001F512E">
      <w:pPr>
        <w:pStyle w:val="Textonotapie"/>
        <w:jc w:val="both"/>
        <w:rPr>
          <w:rFonts w:ascii="Times New Roman" w:hAnsi="Times New Roman" w:cs="Times New Roman"/>
        </w:rPr>
      </w:pPr>
      <w:r w:rsidRPr="001F512E">
        <w:rPr>
          <w:rStyle w:val="Refdenotaalpie"/>
          <w:rFonts w:ascii="Times New Roman" w:hAnsi="Times New Roman" w:cs="Times New Roman"/>
        </w:rPr>
        <w:footnoteRef/>
      </w:r>
      <w:r w:rsidRPr="001F512E">
        <w:rPr>
          <w:rFonts w:ascii="Times New Roman" w:hAnsi="Times New Roman" w:cs="Times New Roman"/>
        </w:rPr>
        <w:t xml:space="preserve"> </w:t>
      </w:r>
      <w:r w:rsidR="00EA6C12" w:rsidRPr="001F512E">
        <w:rPr>
          <w:rFonts w:ascii="Times New Roman" w:hAnsi="Times New Roman" w:cs="Times New Roman"/>
        </w:rPr>
        <w:t xml:space="preserve">Plan de Igualdad </w:t>
      </w:r>
      <w:proofErr w:type="spellStart"/>
      <w:r w:rsidR="00EA6C12" w:rsidRPr="001F512E">
        <w:rPr>
          <w:rFonts w:ascii="Times New Roman" w:hAnsi="Times New Roman" w:cs="Times New Roman"/>
        </w:rPr>
        <w:t>Tesicnor</w:t>
      </w:r>
      <w:proofErr w:type="spellEnd"/>
      <w:r w:rsidR="00EA6C12" w:rsidRPr="001F512E">
        <w:rPr>
          <w:rFonts w:ascii="Times New Roman" w:hAnsi="Times New Roman" w:cs="Times New Roman"/>
        </w:rPr>
        <w:t xml:space="preserve">. Plan de Igualdad Hunter </w:t>
      </w:r>
      <w:proofErr w:type="spellStart"/>
      <w:r w:rsidR="00EA6C12" w:rsidRPr="001F512E">
        <w:rPr>
          <w:rFonts w:ascii="Times New Roman" w:hAnsi="Times New Roman" w:cs="Times New Roman"/>
        </w:rPr>
        <w:t>Tecnhology</w:t>
      </w:r>
      <w:proofErr w:type="spellEnd"/>
      <w:r w:rsidR="00EA6C12" w:rsidRPr="001F512E">
        <w:rPr>
          <w:rFonts w:ascii="Times New Roman" w:hAnsi="Times New Roman" w:cs="Times New Roman"/>
        </w:rPr>
        <w:t xml:space="preserve"> Albacete, S.L.U. </w:t>
      </w:r>
    </w:p>
  </w:footnote>
  <w:footnote w:id="23">
    <w:p w14:paraId="791A80F7" w14:textId="77777777" w:rsidR="00EB5987" w:rsidRPr="00E359BD" w:rsidRDefault="00EB5987" w:rsidP="00EB5987">
      <w:pPr>
        <w:pStyle w:val="Textonotapie"/>
        <w:jc w:val="both"/>
        <w:rPr>
          <w:rFonts w:ascii="Times New Roman" w:hAnsi="Times New Roman" w:cs="Times New Roman"/>
          <w:lang w:val="en-US"/>
        </w:rPr>
      </w:pPr>
      <w:r w:rsidRPr="00AC7758">
        <w:rPr>
          <w:rStyle w:val="Refdenotaalpie"/>
          <w:rFonts w:ascii="Times New Roman" w:hAnsi="Times New Roman" w:cs="Times New Roman"/>
        </w:rPr>
        <w:footnoteRef/>
      </w:r>
      <w:r w:rsidRPr="00AC7758">
        <w:rPr>
          <w:rFonts w:ascii="Times New Roman" w:hAnsi="Times New Roman" w:cs="Times New Roman"/>
        </w:rPr>
        <w:t xml:space="preserve"> De este modo, las empresas podrán implementar acciones que permitan desvanecer “el techo de cristal” para las mujeres como objetivo para alcanzar un futuro decente e igualitario del trabajo. RAMOS QUINTANA, M.I. (2019). “El futuro del trabajo de las mujeres: integración en el mercado de trabajo y promoción profesional”, </w:t>
      </w:r>
      <w:r w:rsidRPr="00AC7758">
        <w:rPr>
          <w:rFonts w:ascii="Times New Roman" w:hAnsi="Times New Roman" w:cs="Times New Roman"/>
          <w:i/>
          <w:iCs/>
        </w:rPr>
        <w:t>Revista documentación laboral</w:t>
      </w:r>
      <w:r w:rsidRPr="00AC7758">
        <w:rPr>
          <w:rFonts w:ascii="Times New Roman" w:hAnsi="Times New Roman" w:cs="Times New Roman"/>
        </w:rPr>
        <w:t xml:space="preserve">, vol. </w:t>
      </w:r>
      <w:r w:rsidRPr="00E359BD">
        <w:rPr>
          <w:rFonts w:ascii="Times New Roman" w:hAnsi="Times New Roman" w:cs="Times New Roman"/>
          <w:lang w:val="en-US"/>
        </w:rPr>
        <w:t xml:space="preserve">II, nº 117, p. 54. </w:t>
      </w:r>
    </w:p>
  </w:footnote>
  <w:footnote w:id="24">
    <w:p w14:paraId="741E20F8" w14:textId="73C4EE20" w:rsidR="004F4211" w:rsidRPr="004F4211" w:rsidRDefault="004F4211" w:rsidP="004F4211">
      <w:pPr>
        <w:pStyle w:val="Textonotapie"/>
        <w:jc w:val="both"/>
        <w:rPr>
          <w:rFonts w:ascii="Times New Roman" w:hAnsi="Times New Roman" w:cs="Times New Roman"/>
        </w:rPr>
      </w:pPr>
      <w:r w:rsidRPr="004F4211">
        <w:rPr>
          <w:rStyle w:val="Refdenotaalpie"/>
          <w:rFonts w:ascii="Times New Roman" w:hAnsi="Times New Roman" w:cs="Times New Roman"/>
        </w:rPr>
        <w:footnoteRef/>
      </w:r>
      <w:r w:rsidRPr="004F4211">
        <w:rPr>
          <w:rFonts w:ascii="Times New Roman" w:hAnsi="Times New Roman" w:cs="Times New Roman"/>
        </w:rPr>
        <w:t xml:space="preserve"> Encuesta de uso de TIC y Comercio Electrónico (CE) en las empresas 2019-2020. Recuperado de https://www.ine.es/jaxi/Tabla.htm?path=/t09/e02/a2019-2020/l0/&amp;file=05002.px&amp;L=0</w:t>
      </w:r>
    </w:p>
  </w:footnote>
  <w:footnote w:id="25">
    <w:p w14:paraId="335AE2FE" w14:textId="515D8A28" w:rsidR="00A56D51" w:rsidRPr="00E359BD" w:rsidRDefault="00A56D51" w:rsidP="00A56D51">
      <w:pPr>
        <w:pStyle w:val="Textonotapie"/>
        <w:jc w:val="both"/>
        <w:rPr>
          <w:rFonts w:ascii="Times New Roman" w:hAnsi="Times New Roman" w:cs="Times New Roman"/>
          <w:lang w:val="en-US"/>
        </w:rPr>
      </w:pPr>
      <w:r w:rsidRPr="00A56D51">
        <w:rPr>
          <w:rStyle w:val="Refdenotaalpie"/>
          <w:rFonts w:ascii="Times New Roman" w:hAnsi="Times New Roman" w:cs="Times New Roman"/>
        </w:rPr>
        <w:footnoteRef/>
      </w:r>
      <w:r w:rsidRPr="00E359BD">
        <w:rPr>
          <w:rFonts w:ascii="Times New Roman" w:hAnsi="Times New Roman" w:cs="Times New Roman"/>
          <w:lang w:val="en-US"/>
        </w:rPr>
        <w:t xml:space="preserve"> </w:t>
      </w:r>
      <w:r w:rsidRPr="00E359BD">
        <w:rPr>
          <w:rFonts w:ascii="Times New Roman" w:hAnsi="Times New Roman" w:cs="Times New Roman"/>
          <w:i/>
          <w:iCs/>
          <w:lang w:val="en-US"/>
        </w:rPr>
        <w:t>Vid</w:t>
      </w:r>
      <w:r w:rsidRPr="00E359BD">
        <w:rPr>
          <w:rFonts w:ascii="Times New Roman" w:hAnsi="Times New Roman" w:cs="Times New Roman"/>
          <w:lang w:val="en-US"/>
        </w:rPr>
        <w:t>., BREQUE, M., DE NUL, L., PETRIDIS, A. (2021). Industry 5.0: towards a sustainable, human-</w:t>
      </w:r>
      <w:proofErr w:type="gramStart"/>
      <w:r w:rsidRPr="00E359BD">
        <w:rPr>
          <w:rFonts w:ascii="Times New Roman" w:hAnsi="Times New Roman" w:cs="Times New Roman"/>
          <w:lang w:val="en-US"/>
        </w:rPr>
        <w:t>centric</w:t>
      </w:r>
      <w:proofErr w:type="gramEnd"/>
      <w:r w:rsidRPr="00E359BD">
        <w:rPr>
          <w:rFonts w:ascii="Times New Roman" w:hAnsi="Times New Roman" w:cs="Times New Roman"/>
          <w:lang w:val="en-US"/>
        </w:rPr>
        <w:t xml:space="preserve"> and resilient European industry, Publications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27B3"/>
    <w:multiLevelType w:val="multilevel"/>
    <w:tmpl w:val="CF36EC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5537D82"/>
    <w:multiLevelType w:val="multilevel"/>
    <w:tmpl w:val="5AD4D554"/>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931A4D"/>
    <w:multiLevelType w:val="multilevel"/>
    <w:tmpl w:val="68166A5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2418EC"/>
    <w:multiLevelType w:val="hybridMultilevel"/>
    <w:tmpl w:val="4D7E4D12"/>
    <w:lvl w:ilvl="0" w:tplc="71C4E01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F9A03AA"/>
    <w:multiLevelType w:val="hybridMultilevel"/>
    <w:tmpl w:val="8390BDE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8E"/>
    <w:rsid w:val="000163BB"/>
    <w:rsid w:val="00032A8E"/>
    <w:rsid w:val="00046EBD"/>
    <w:rsid w:val="000B760E"/>
    <w:rsid w:val="000C72FA"/>
    <w:rsid w:val="000F3D3D"/>
    <w:rsid w:val="00100887"/>
    <w:rsid w:val="00120CAF"/>
    <w:rsid w:val="00134D8B"/>
    <w:rsid w:val="00136F01"/>
    <w:rsid w:val="00163062"/>
    <w:rsid w:val="001A5776"/>
    <w:rsid w:val="001D3415"/>
    <w:rsid w:val="001F512E"/>
    <w:rsid w:val="00207770"/>
    <w:rsid w:val="00216DCE"/>
    <w:rsid w:val="00224065"/>
    <w:rsid w:val="00236723"/>
    <w:rsid w:val="002372A5"/>
    <w:rsid w:val="00250780"/>
    <w:rsid w:val="00262537"/>
    <w:rsid w:val="00262A27"/>
    <w:rsid w:val="00281C04"/>
    <w:rsid w:val="002E0344"/>
    <w:rsid w:val="002E4EDB"/>
    <w:rsid w:val="00302DBC"/>
    <w:rsid w:val="0032265D"/>
    <w:rsid w:val="003257A2"/>
    <w:rsid w:val="003660CB"/>
    <w:rsid w:val="00392FF7"/>
    <w:rsid w:val="00397976"/>
    <w:rsid w:val="003E19BC"/>
    <w:rsid w:val="003F0EF0"/>
    <w:rsid w:val="00404B68"/>
    <w:rsid w:val="00480848"/>
    <w:rsid w:val="00491D30"/>
    <w:rsid w:val="00495A26"/>
    <w:rsid w:val="004C31AE"/>
    <w:rsid w:val="004D5C07"/>
    <w:rsid w:val="004E39E0"/>
    <w:rsid w:val="004F4211"/>
    <w:rsid w:val="005044B3"/>
    <w:rsid w:val="005469E6"/>
    <w:rsid w:val="00591763"/>
    <w:rsid w:val="00592C6F"/>
    <w:rsid w:val="0059718C"/>
    <w:rsid w:val="005B39FD"/>
    <w:rsid w:val="005B59BB"/>
    <w:rsid w:val="005C4F95"/>
    <w:rsid w:val="00646C1C"/>
    <w:rsid w:val="00652B81"/>
    <w:rsid w:val="006543B7"/>
    <w:rsid w:val="00670AE5"/>
    <w:rsid w:val="006D1EF1"/>
    <w:rsid w:val="006E001C"/>
    <w:rsid w:val="00702B24"/>
    <w:rsid w:val="00771383"/>
    <w:rsid w:val="00792A49"/>
    <w:rsid w:val="00797910"/>
    <w:rsid w:val="007A5FC1"/>
    <w:rsid w:val="007A72B2"/>
    <w:rsid w:val="007B7CF4"/>
    <w:rsid w:val="007C748B"/>
    <w:rsid w:val="007D21F4"/>
    <w:rsid w:val="007E0C14"/>
    <w:rsid w:val="007E4782"/>
    <w:rsid w:val="007E5DB8"/>
    <w:rsid w:val="00807A2B"/>
    <w:rsid w:val="00813DD9"/>
    <w:rsid w:val="00830206"/>
    <w:rsid w:val="008544DA"/>
    <w:rsid w:val="008801C2"/>
    <w:rsid w:val="008B110E"/>
    <w:rsid w:val="008B2E18"/>
    <w:rsid w:val="008B3336"/>
    <w:rsid w:val="008B4AA2"/>
    <w:rsid w:val="008F69FD"/>
    <w:rsid w:val="008F6E50"/>
    <w:rsid w:val="0093089F"/>
    <w:rsid w:val="00962B35"/>
    <w:rsid w:val="009961AA"/>
    <w:rsid w:val="009B7694"/>
    <w:rsid w:val="009C5620"/>
    <w:rsid w:val="009E5D09"/>
    <w:rsid w:val="00A06355"/>
    <w:rsid w:val="00A070F3"/>
    <w:rsid w:val="00A10CF1"/>
    <w:rsid w:val="00A204D7"/>
    <w:rsid w:val="00A56D51"/>
    <w:rsid w:val="00A63D5D"/>
    <w:rsid w:val="00AC7758"/>
    <w:rsid w:val="00AE6EE1"/>
    <w:rsid w:val="00B03E34"/>
    <w:rsid w:val="00B221D8"/>
    <w:rsid w:val="00B35F2E"/>
    <w:rsid w:val="00B70350"/>
    <w:rsid w:val="00BA7234"/>
    <w:rsid w:val="00BB4635"/>
    <w:rsid w:val="00C5575C"/>
    <w:rsid w:val="00C86D0A"/>
    <w:rsid w:val="00C8722F"/>
    <w:rsid w:val="00C96A90"/>
    <w:rsid w:val="00CB7254"/>
    <w:rsid w:val="00CC39CA"/>
    <w:rsid w:val="00CD095A"/>
    <w:rsid w:val="00CE101E"/>
    <w:rsid w:val="00CE376D"/>
    <w:rsid w:val="00CE6761"/>
    <w:rsid w:val="00D1058F"/>
    <w:rsid w:val="00D4712C"/>
    <w:rsid w:val="00D509FB"/>
    <w:rsid w:val="00D84B98"/>
    <w:rsid w:val="00D9112A"/>
    <w:rsid w:val="00D97433"/>
    <w:rsid w:val="00DF270B"/>
    <w:rsid w:val="00E017F4"/>
    <w:rsid w:val="00E10B57"/>
    <w:rsid w:val="00E21D22"/>
    <w:rsid w:val="00E24738"/>
    <w:rsid w:val="00E253C0"/>
    <w:rsid w:val="00E30080"/>
    <w:rsid w:val="00E306EB"/>
    <w:rsid w:val="00E32C13"/>
    <w:rsid w:val="00E34904"/>
    <w:rsid w:val="00E359BD"/>
    <w:rsid w:val="00E44A90"/>
    <w:rsid w:val="00E67DB2"/>
    <w:rsid w:val="00E70D75"/>
    <w:rsid w:val="00E86BFF"/>
    <w:rsid w:val="00EA6C12"/>
    <w:rsid w:val="00EB5987"/>
    <w:rsid w:val="00EC35D6"/>
    <w:rsid w:val="00ED111E"/>
    <w:rsid w:val="00ED3CD4"/>
    <w:rsid w:val="00F03164"/>
    <w:rsid w:val="00F11BD9"/>
    <w:rsid w:val="00F57A89"/>
    <w:rsid w:val="00F63B0B"/>
    <w:rsid w:val="00FA27A2"/>
    <w:rsid w:val="00FA2E90"/>
    <w:rsid w:val="00FB1EFE"/>
    <w:rsid w:val="00FB54C6"/>
    <w:rsid w:val="00FB6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2FBE"/>
  <w15:chartTrackingRefBased/>
  <w15:docId w15:val="{96F207E9-5BA9-1D48-9994-CF9ACAE2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A8E"/>
    <w:pPr>
      <w:ind w:left="720"/>
      <w:contextualSpacing/>
    </w:pPr>
  </w:style>
  <w:style w:type="paragraph" w:styleId="Textonotapie">
    <w:name w:val="footnote text"/>
    <w:basedOn w:val="Normal"/>
    <w:link w:val="TextonotapieCar"/>
    <w:uiPriority w:val="99"/>
    <w:unhideWhenUsed/>
    <w:rsid w:val="00D1058F"/>
    <w:rPr>
      <w:sz w:val="20"/>
      <w:szCs w:val="20"/>
    </w:rPr>
  </w:style>
  <w:style w:type="character" w:customStyle="1" w:styleId="TextonotapieCar">
    <w:name w:val="Texto nota pie Car"/>
    <w:basedOn w:val="Fuentedeprrafopredeter"/>
    <w:link w:val="Textonotapie"/>
    <w:uiPriority w:val="99"/>
    <w:rsid w:val="00D1058F"/>
    <w:rPr>
      <w:sz w:val="20"/>
      <w:szCs w:val="20"/>
    </w:rPr>
  </w:style>
  <w:style w:type="character" w:styleId="Refdenotaalpie">
    <w:name w:val="footnote reference"/>
    <w:basedOn w:val="Fuentedeprrafopredeter"/>
    <w:uiPriority w:val="99"/>
    <w:unhideWhenUsed/>
    <w:rsid w:val="00D1058F"/>
    <w:rPr>
      <w:vertAlign w:val="superscript"/>
    </w:rPr>
  </w:style>
  <w:style w:type="paragraph" w:styleId="NormalWeb">
    <w:name w:val="Normal (Web)"/>
    <w:basedOn w:val="Normal"/>
    <w:uiPriority w:val="99"/>
    <w:unhideWhenUsed/>
    <w:rsid w:val="00771383"/>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FB54C6"/>
    <w:rPr>
      <w:color w:val="0563C1" w:themeColor="hyperlink"/>
      <w:u w:val="single"/>
    </w:rPr>
  </w:style>
  <w:style w:type="paragraph" w:styleId="Sinespaciado">
    <w:name w:val="No Spacing"/>
    <w:uiPriority w:val="1"/>
    <w:qFormat/>
    <w:rsid w:val="00FB1EFE"/>
  </w:style>
  <w:style w:type="character" w:styleId="Mencinsinresolver">
    <w:name w:val="Unresolved Mention"/>
    <w:basedOn w:val="Fuentedeprrafopredeter"/>
    <w:uiPriority w:val="99"/>
    <w:semiHidden/>
    <w:unhideWhenUsed/>
    <w:rsid w:val="009C5620"/>
    <w:rPr>
      <w:color w:val="605E5C"/>
      <w:shd w:val="clear" w:color="auto" w:fill="E1DFDD"/>
    </w:rPr>
  </w:style>
  <w:style w:type="paragraph" w:styleId="Revisin">
    <w:name w:val="Revision"/>
    <w:hidden/>
    <w:uiPriority w:val="99"/>
    <w:semiHidden/>
    <w:rsid w:val="00E359BD"/>
  </w:style>
  <w:style w:type="character" w:styleId="Refdecomentario">
    <w:name w:val="annotation reference"/>
    <w:basedOn w:val="Fuentedeprrafopredeter"/>
    <w:uiPriority w:val="99"/>
    <w:semiHidden/>
    <w:unhideWhenUsed/>
    <w:rsid w:val="00E359BD"/>
    <w:rPr>
      <w:sz w:val="16"/>
      <w:szCs w:val="16"/>
    </w:rPr>
  </w:style>
  <w:style w:type="paragraph" w:styleId="Textocomentario">
    <w:name w:val="annotation text"/>
    <w:basedOn w:val="Normal"/>
    <w:link w:val="TextocomentarioCar"/>
    <w:uiPriority w:val="99"/>
    <w:unhideWhenUsed/>
    <w:rsid w:val="00E359BD"/>
    <w:rPr>
      <w:sz w:val="20"/>
      <w:szCs w:val="20"/>
    </w:rPr>
  </w:style>
  <w:style w:type="character" w:customStyle="1" w:styleId="TextocomentarioCar">
    <w:name w:val="Texto comentario Car"/>
    <w:basedOn w:val="Fuentedeprrafopredeter"/>
    <w:link w:val="Textocomentario"/>
    <w:uiPriority w:val="99"/>
    <w:rsid w:val="00E359BD"/>
    <w:rPr>
      <w:sz w:val="20"/>
      <w:szCs w:val="20"/>
    </w:rPr>
  </w:style>
  <w:style w:type="paragraph" w:styleId="Asuntodelcomentario">
    <w:name w:val="annotation subject"/>
    <w:basedOn w:val="Textocomentario"/>
    <w:next w:val="Textocomentario"/>
    <w:link w:val="AsuntodelcomentarioCar"/>
    <w:uiPriority w:val="99"/>
    <w:semiHidden/>
    <w:unhideWhenUsed/>
    <w:rsid w:val="00E359BD"/>
    <w:rPr>
      <w:b/>
      <w:bCs/>
    </w:rPr>
  </w:style>
  <w:style w:type="character" w:customStyle="1" w:styleId="AsuntodelcomentarioCar">
    <w:name w:val="Asunto del comentario Car"/>
    <w:basedOn w:val="TextocomentarioCar"/>
    <w:link w:val="Asuntodelcomentario"/>
    <w:uiPriority w:val="99"/>
    <w:semiHidden/>
    <w:rsid w:val="00E35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3297">
      <w:bodyDiv w:val="1"/>
      <w:marLeft w:val="0"/>
      <w:marRight w:val="0"/>
      <w:marTop w:val="0"/>
      <w:marBottom w:val="0"/>
      <w:divBdr>
        <w:top w:val="none" w:sz="0" w:space="0" w:color="auto"/>
        <w:left w:val="none" w:sz="0" w:space="0" w:color="auto"/>
        <w:bottom w:val="none" w:sz="0" w:space="0" w:color="auto"/>
        <w:right w:val="none" w:sz="0" w:space="0" w:color="auto"/>
      </w:divBdr>
      <w:divsChild>
        <w:div w:id="1085146713">
          <w:marLeft w:val="0"/>
          <w:marRight w:val="0"/>
          <w:marTop w:val="0"/>
          <w:marBottom w:val="0"/>
          <w:divBdr>
            <w:top w:val="none" w:sz="0" w:space="0" w:color="auto"/>
            <w:left w:val="none" w:sz="0" w:space="0" w:color="auto"/>
            <w:bottom w:val="none" w:sz="0" w:space="0" w:color="auto"/>
            <w:right w:val="none" w:sz="0" w:space="0" w:color="auto"/>
          </w:divBdr>
          <w:divsChild>
            <w:div w:id="913012856">
              <w:marLeft w:val="0"/>
              <w:marRight w:val="0"/>
              <w:marTop w:val="0"/>
              <w:marBottom w:val="0"/>
              <w:divBdr>
                <w:top w:val="none" w:sz="0" w:space="0" w:color="auto"/>
                <w:left w:val="none" w:sz="0" w:space="0" w:color="auto"/>
                <w:bottom w:val="none" w:sz="0" w:space="0" w:color="auto"/>
                <w:right w:val="none" w:sz="0" w:space="0" w:color="auto"/>
              </w:divBdr>
              <w:divsChild>
                <w:div w:id="10464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3623">
      <w:bodyDiv w:val="1"/>
      <w:marLeft w:val="0"/>
      <w:marRight w:val="0"/>
      <w:marTop w:val="0"/>
      <w:marBottom w:val="0"/>
      <w:divBdr>
        <w:top w:val="none" w:sz="0" w:space="0" w:color="auto"/>
        <w:left w:val="none" w:sz="0" w:space="0" w:color="auto"/>
        <w:bottom w:val="none" w:sz="0" w:space="0" w:color="auto"/>
        <w:right w:val="none" w:sz="0" w:space="0" w:color="auto"/>
      </w:divBdr>
    </w:div>
    <w:div w:id="224803051">
      <w:bodyDiv w:val="1"/>
      <w:marLeft w:val="0"/>
      <w:marRight w:val="0"/>
      <w:marTop w:val="0"/>
      <w:marBottom w:val="0"/>
      <w:divBdr>
        <w:top w:val="none" w:sz="0" w:space="0" w:color="auto"/>
        <w:left w:val="none" w:sz="0" w:space="0" w:color="auto"/>
        <w:bottom w:val="none" w:sz="0" w:space="0" w:color="auto"/>
        <w:right w:val="none" w:sz="0" w:space="0" w:color="auto"/>
      </w:divBdr>
    </w:div>
    <w:div w:id="551692142">
      <w:bodyDiv w:val="1"/>
      <w:marLeft w:val="0"/>
      <w:marRight w:val="0"/>
      <w:marTop w:val="0"/>
      <w:marBottom w:val="0"/>
      <w:divBdr>
        <w:top w:val="none" w:sz="0" w:space="0" w:color="auto"/>
        <w:left w:val="none" w:sz="0" w:space="0" w:color="auto"/>
        <w:bottom w:val="none" w:sz="0" w:space="0" w:color="auto"/>
        <w:right w:val="none" w:sz="0" w:space="0" w:color="auto"/>
      </w:divBdr>
      <w:divsChild>
        <w:div w:id="174030200">
          <w:marLeft w:val="0"/>
          <w:marRight w:val="0"/>
          <w:marTop w:val="0"/>
          <w:marBottom w:val="0"/>
          <w:divBdr>
            <w:top w:val="none" w:sz="0" w:space="0" w:color="auto"/>
            <w:left w:val="none" w:sz="0" w:space="0" w:color="auto"/>
            <w:bottom w:val="none" w:sz="0" w:space="0" w:color="auto"/>
            <w:right w:val="none" w:sz="0" w:space="0" w:color="auto"/>
          </w:divBdr>
          <w:divsChild>
            <w:div w:id="547566446">
              <w:marLeft w:val="0"/>
              <w:marRight w:val="0"/>
              <w:marTop w:val="0"/>
              <w:marBottom w:val="0"/>
              <w:divBdr>
                <w:top w:val="none" w:sz="0" w:space="0" w:color="auto"/>
                <w:left w:val="none" w:sz="0" w:space="0" w:color="auto"/>
                <w:bottom w:val="none" w:sz="0" w:space="0" w:color="auto"/>
                <w:right w:val="none" w:sz="0" w:space="0" w:color="auto"/>
              </w:divBdr>
              <w:divsChild>
                <w:div w:id="32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2874">
      <w:bodyDiv w:val="1"/>
      <w:marLeft w:val="0"/>
      <w:marRight w:val="0"/>
      <w:marTop w:val="0"/>
      <w:marBottom w:val="0"/>
      <w:divBdr>
        <w:top w:val="none" w:sz="0" w:space="0" w:color="auto"/>
        <w:left w:val="none" w:sz="0" w:space="0" w:color="auto"/>
        <w:bottom w:val="none" w:sz="0" w:space="0" w:color="auto"/>
        <w:right w:val="none" w:sz="0" w:space="0" w:color="auto"/>
      </w:divBdr>
    </w:div>
    <w:div w:id="1425760732">
      <w:bodyDiv w:val="1"/>
      <w:marLeft w:val="0"/>
      <w:marRight w:val="0"/>
      <w:marTop w:val="0"/>
      <w:marBottom w:val="0"/>
      <w:divBdr>
        <w:top w:val="none" w:sz="0" w:space="0" w:color="auto"/>
        <w:left w:val="none" w:sz="0" w:space="0" w:color="auto"/>
        <w:bottom w:val="none" w:sz="0" w:space="0" w:color="auto"/>
        <w:right w:val="none" w:sz="0" w:space="0" w:color="auto"/>
      </w:divBdr>
      <w:divsChild>
        <w:div w:id="1779179164">
          <w:marLeft w:val="461"/>
          <w:marRight w:val="0"/>
          <w:marTop w:val="150"/>
          <w:marBottom w:val="160"/>
          <w:divBdr>
            <w:top w:val="none" w:sz="0" w:space="0" w:color="auto"/>
            <w:left w:val="none" w:sz="0" w:space="0" w:color="auto"/>
            <w:bottom w:val="none" w:sz="0" w:space="0" w:color="auto"/>
            <w:right w:val="none" w:sz="0" w:space="0" w:color="auto"/>
          </w:divBdr>
        </w:div>
      </w:divsChild>
    </w:div>
    <w:div w:id="1461219907">
      <w:bodyDiv w:val="1"/>
      <w:marLeft w:val="0"/>
      <w:marRight w:val="0"/>
      <w:marTop w:val="0"/>
      <w:marBottom w:val="0"/>
      <w:divBdr>
        <w:top w:val="none" w:sz="0" w:space="0" w:color="auto"/>
        <w:left w:val="none" w:sz="0" w:space="0" w:color="auto"/>
        <w:bottom w:val="none" w:sz="0" w:space="0" w:color="auto"/>
        <w:right w:val="none" w:sz="0" w:space="0" w:color="auto"/>
      </w:divBdr>
    </w:div>
    <w:div w:id="18906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e.es/ss/Satellite?L=es_ES&amp;c=INESeccion_C&amp;cid=1259931459725&amp;p=1254735110672&amp;pagename=ProductosYServicios%2FPYSLayou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FD61-4FAB-0645-A599-CD746CF1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2642</Words>
  <Characters>14532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Montesdeoca Suárez</dc:creator>
  <cp:keywords/>
  <dc:description/>
  <cp:lastModifiedBy>Arturo Montesdeoca Suárez</cp:lastModifiedBy>
  <cp:revision>12</cp:revision>
  <dcterms:created xsi:type="dcterms:W3CDTF">2022-02-21T15:39:00Z</dcterms:created>
  <dcterms:modified xsi:type="dcterms:W3CDTF">2022-02-22T13:02:00Z</dcterms:modified>
</cp:coreProperties>
</file>